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427C" w14:textId="7710C0A9" w:rsidR="006B0B12" w:rsidRPr="002D0EB6" w:rsidRDefault="006B0B12" w:rsidP="006B0B12">
      <w:pPr>
        <w:jc w:val="both"/>
        <w:rPr>
          <w:rFonts w:cs="Arial" w:hint="eastAsia"/>
          <w:b/>
          <w:bCs/>
          <w:sz w:val="24"/>
          <w:lang w:val="en-US" w:eastAsia="zh-CN"/>
        </w:rPr>
      </w:pPr>
      <w:r w:rsidRPr="002D0EB6">
        <w:rPr>
          <w:rFonts w:cs="Arial"/>
          <w:b/>
          <w:bCs/>
          <w:sz w:val="24"/>
          <w:lang w:val="en-US"/>
        </w:rPr>
        <w:t>3GPP TSG-RAN WG3 #12</w:t>
      </w:r>
      <w:r>
        <w:rPr>
          <w:rFonts w:cs="Arial" w:hint="eastAsia"/>
          <w:b/>
          <w:bCs/>
          <w:sz w:val="24"/>
          <w:lang w:val="en-US" w:eastAsia="zh-CN"/>
        </w:rPr>
        <w:t>8</w:t>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t>R3-25</w:t>
      </w:r>
      <w:r w:rsidR="00A473E2">
        <w:rPr>
          <w:rFonts w:cs="Arial" w:hint="eastAsia"/>
          <w:b/>
          <w:bCs/>
          <w:sz w:val="24"/>
          <w:lang w:val="en-US" w:eastAsia="zh-CN"/>
        </w:rPr>
        <w:t>3415</w:t>
      </w:r>
    </w:p>
    <w:p w14:paraId="762D72A0" w14:textId="77777777" w:rsidR="006B0B12" w:rsidRPr="002D0EB6" w:rsidRDefault="006B0B12" w:rsidP="006B0B12">
      <w:pPr>
        <w:jc w:val="both"/>
        <w:rPr>
          <w:rFonts w:cs="Arial"/>
          <w:b/>
          <w:bCs/>
          <w:sz w:val="24"/>
          <w:lang w:val="en-US"/>
        </w:rPr>
      </w:pPr>
      <w:r>
        <w:rPr>
          <w:rFonts w:cs="Arial" w:hint="eastAsia"/>
          <w:b/>
          <w:bCs/>
          <w:sz w:val="24"/>
          <w:lang w:val="en-US" w:eastAsia="zh-CN"/>
        </w:rPr>
        <w:t>Malta</w:t>
      </w:r>
      <w:r w:rsidRPr="002D0EB6">
        <w:rPr>
          <w:rFonts w:cs="Arial"/>
          <w:b/>
          <w:bCs/>
          <w:sz w:val="24"/>
          <w:lang w:val="en-US"/>
        </w:rPr>
        <w:t xml:space="preserve">, </w:t>
      </w:r>
      <w:r>
        <w:rPr>
          <w:rFonts w:cs="Arial" w:hint="eastAsia"/>
          <w:b/>
          <w:bCs/>
          <w:sz w:val="24"/>
          <w:lang w:val="en-US" w:eastAsia="zh-CN"/>
        </w:rPr>
        <w:t>MT</w:t>
      </w:r>
      <w:r w:rsidRPr="002D0EB6">
        <w:rPr>
          <w:rFonts w:cs="Arial"/>
          <w:b/>
          <w:bCs/>
          <w:sz w:val="24"/>
          <w:lang w:val="en-US"/>
        </w:rPr>
        <w:t xml:space="preserve">, </w:t>
      </w:r>
      <w:r>
        <w:rPr>
          <w:rFonts w:cs="Arial" w:hint="eastAsia"/>
          <w:b/>
          <w:bCs/>
          <w:sz w:val="24"/>
          <w:lang w:val="en-US" w:eastAsia="zh-CN"/>
        </w:rPr>
        <w:t>19</w:t>
      </w:r>
      <w:r w:rsidRPr="002D0EB6">
        <w:rPr>
          <w:rFonts w:cs="Arial"/>
          <w:b/>
          <w:bCs/>
          <w:sz w:val="24"/>
          <w:lang w:val="en-US"/>
        </w:rPr>
        <w:t xml:space="preserve">th – </w:t>
      </w:r>
      <w:r>
        <w:rPr>
          <w:rFonts w:cs="Arial" w:hint="eastAsia"/>
          <w:b/>
          <w:bCs/>
          <w:sz w:val="24"/>
          <w:lang w:val="en-US" w:eastAsia="zh-CN"/>
        </w:rPr>
        <w:t>23rd</w:t>
      </w:r>
      <w:r w:rsidRPr="002D0EB6">
        <w:rPr>
          <w:rFonts w:cs="Arial"/>
          <w:b/>
          <w:bCs/>
          <w:sz w:val="24"/>
          <w:lang w:val="en-US"/>
        </w:rPr>
        <w:t xml:space="preserve"> </w:t>
      </w:r>
      <w:r>
        <w:rPr>
          <w:rFonts w:cs="Arial" w:hint="eastAsia"/>
          <w:b/>
          <w:bCs/>
          <w:sz w:val="24"/>
          <w:lang w:val="en-US" w:eastAsia="zh-CN"/>
        </w:rPr>
        <w:t>May</w:t>
      </w:r>
      <w:r w:rsidRPr="002D0EB6">
        <w:rPr>
          <w:rFonts w:cs="Arial"/>
          <w:b/>
          <w:bCs/>
          <w:sz w:val="24"/>
          <w:lang w:val="en-US"/>
        </w:rPr>
        <w:t xml:space="preserve"> 2025 </w:t>
      </w:r>
    </w:p>
    <w:p w14:paraId="6FEC161A" w14:textId="349BD52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12.2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530E1A59"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8441DA">
        <w:rPr>
          <w:rFonts w:cs="Arial" w:hint="eastAsia"/>
          <w:b/>
          <w:bCs/>
          <w:color w:val="000000"/>
          <w:sz w:val="24"/>
          <w:szCs w:val="24"/>
          <w:lang w:eastAsia="zh-CN"/>
        </w:rPr>
        <w:t xml:space="preserve">RAN2 </w:t>
      </w:r>
      <w:r w:rsidR="008D0D04">
        <w:rPr>
          <w:rFonts w:cs="Arial" w:hint="eastAsia"/>
          <w:b/>
          <w:bCs/>
          <w:color w:val="000000"/>
          <w:sz w:val="24"/>
          <w:szCs w:val="24"/>
          <w:lang w:eastAsia="zh-CN"/>
        </w:rPr>
        <w:t>I</w:t>
      </w:r>
      <w:r w:rsidR="008441DA">
        <w:rPr>
          <w:rFonts w:cs="Arial" w:hint="eastAsia"/>
          <w:b/>
          <w:bCs/>
          <w:color w:val="000000"/>
          <w:sz w:val="24"/>
          <w:szCs w:val="24"/>
          <w:lang w:eastAsia="zh-CN"/>
        </w:rPr>
        <w:t>mpact</w:t>
      </w:r>
      <w:r w:rsidR="00AC085F">
        <w:rPr>
          <w:rFonts w:cs="Arial" w:hint="eastAsia"/>
          <w:b/>
          <w:bCs/>
          <w:color w:val="000000"/>
          <w:sz w:val="24"/>
          <w:szCs w:val="24"/>
          <w:lang w:eastAsia="zh-CN"/>
        </w:rPr>
        <w:t xml:space="preserve"> </w:t>
      </w:r>
      <w:r w:rsidR="008441DA">
        <w:rPr>
          <w:rFonts w:cs="Arial" w:hint="eastAsia"/>
          <w:b/>
          <w:bCs/>
          <w:color w:val="000000"/>
          <w:sz w:val="24"/>
          <w:szCs w:val="24"/>
          <w:lang w:eastAsia="zh-CN"/>
        </w:rPr>
        <w:t>of WAB</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4433831" w14:textId="2320DAA7" w:rsidR="002866B3" w:rsidRDefault="00574A66" w:rsidP="002866B3">
      <w:pPr>
        <w:spacing w:line="360" w:lineRule="auto"/>
        <w:jc w:val="both"/>
        <w:rPr>
          <w:rFonts w:ascii="Arial" w:hAnsi="Arial" w:cs="Arial"/>
          <w:sz w:val="22"/>
          <w:szCs w:val="22"/>
          <w:lang w:eastAsia="zh-CN"/>
        </w:rPr>
      </w:pPr>
      <w:r w:rsidRPr="002866B3">
        <w:rPr>
          <w:rFonts w:ascii="Arial" w:hAnsi="Arial" w:cs="Arial"/>
          <w:sz w:val="22"/>
          <w:szCs w:val="22"/>
          <w:lang w:eastAsia="ja-JP"/>
        </w:rPr>
        <w:t>The</w:t>
      </w:r>
      <w:r w:rsidR="00136C14" w:rsidRPr="002866B3">
        <w:rPr>
          <w:rFonts w:ascii="Arial" w:hAnsi="Arial" w:cs="Arial" w:hint="eastAsia"/>
          <w:sz w:val="22"/>
          <w:szCs w:val="22"/>
          <w:lang w:eastAsia="ja-JP"/>
        </w:rPr>
        <w:t xml:space="preserve"> </w:t>
      </w:r>
      <w:r w:rsidR="000B2C89" w:rsidRPr="002866B3">
        <w:rPr>
          <w:rFonts w:ascii="Arial" w:hAnsi="Arial" w:cs="Arial" w:hint="eastAsia"/>
          <w:sz w:val="22"/>
          <w:szCs w:val="22"/>
          <w:lang w:eastAsia="ja-JP"/>
        </w:rPr>
        <w:t xml:space="preserve">new WI on </w:t>
      </w:r>
      <w:r w:rsidR="00136C14" w:rsidRPr="002866B3">
        <w:rPr>
          <w:rFonts w:ascii="Arial" w:hAnsi="Arial" w:cs="Arial"/>
          <w:sz w:val="22"/>
          <w:szCs w:val="22"/>
          <w:lang w:eastAsia="ja-JP"/>
        </w:rPr>
        <w:t>additional topological enhancements for NR</w:t>
      </w:r>
      <w:r w:rsidR="00421012" w:rsidRPr="002866B3">
        <w:rPr>
          <w:rFonts w:ascii="Arial" w:hAnsi="Arial" w:cs="Arial"/>
          <w:sz w:val="22"/>
          <w:szCs w:val="22"/>
          <w:lang w:eastAsia="ja-JP"/>
        </w:rPr>
        <w:t xml:space="preserve"> </w:t>
      </w:r>
      <w:r w:rsidR="00136C14" w:rsidRPr="002866B3">
        <w:rPr>
          <w:rFonts w:ascii="Arial" w:hAnsi="Arial" w:cs="Arial"/>
          <w:sz w:val="22"/>
          <w:szCs w:val="22"/>
          <w:lang w:eastAsia="ja-JP"/>
        </w:rPr>
        <w:t>w</w:t>
      </w:r>
      <w:r w:rsidR="000B2C89" w:rsidRPr="002866B3">
        <w:rPr>
          <w:rFonts w:ascii="Arial" w:hAnsi="Arial" w:cs="Arial" w:hint="eastAsia"/>
          <w:sz w:val="22"/>
          <w:szCs w:val="22"/>
          <w:lang w:eastAsia="ja-JP"/>
        </w:rPr>
        <w:t>as approved</w:t>
      </w:r>
      <w:r w:rsidR="00421012" w:rsidRPr="002866B3">
        <w:rPr>
          <w:rFonts w:ascii="Arial" w:hAnsi="Arial" w:cs="Arial"/>
          <w:sz w:val="22"/>
          <w:szCs w:val="22"/>
          <w:lang w:eastAsia="ja-JP"/>
        </w:rPr>
        <w:t xml:space="preserve"> in RAN#10</w:t>
      </w:r>
      <w:r w:rsidR="000B2C89" w:rsidRPr="002866B3">
        <w:rPr>
          <w:rFonts w:ascii="Arial" w:hAnsi="Arial" w:cs="Arial" w:hint="eastAsia"/>
          <w:sz w:val="22"/>
          <w:szCs w:val="22"/>
          <w:lang w:eastAsia="ja-JP"/>
        </w:rPr>
        <w:t>5</w:t>
      </w:r>
      <w:r w:rsidR="00421012" w:rsidRPr="002866B3">
        <w:rPr>
          <w:rFonts w:ascii="Arial" w:hAnsi="Arial" w:cs="Arial"/>
          <w:sz w:val="22"/>
          <w:szCs w:val="22"/>
          <w:lang w:eastAsia="ja-JP"/>
        </w:rPr>
        <w:t xml:space="preserve"> </w:t>
      </w:r>
      <w:r w:rsidR="00136C14" w:rsidRPr="002866B3">
        <w:rPr>
          <w:rFonts w:ascii="Arial" w:hAnsi="Arial" w:cs="Arial"/>
          <w:sz w:val="22"/>
          <w:szCs w:val="22"/>
          <w:lang w:eastAsia="ja-JP"/>
        </w:rPr>
        <w:t>meeting [</w:t>
      </w:r>
      <w:r w:rsidR="00633A92" w:rsidRPr="002866B3">
        <w:rPr>
          <w:rFonts w:ascii="Arial" w:hAnsi="Arial" w:cs="Arial" w:hint="eastAsia"/>
          <w:sz w:val="22"/>
          <w:szCs w:val="22"/>
          <w:lang w:eastAsia="ja-JP"/>
        </w:rPr>
        <w:t>1</w:t>
      </w:r>
      <w:r w:rsidR="00542BF2" w:rsidRPr="002866B3">
        <w:rPr>
          <w:rFonts w:ascii="Arial" w:hAnsi="Arial" w:cs="Arial"/>
          <w:sz w:val="22"/>
          <w:szCs w:val="22"/>
          <w:lang w:eastAsia="ja-JP"/>
        </w:rPr>
        <w:t>]</w:t>
      </w:r>
      <w:r w:rsidR="00421012" w:rsidRPr="002866B3">
        <w:rPr>
          <w:rFonts w:ascii="Arial" w:hAnsi="Arial" w:cs="Arial"/>
          <w:sz w:val="22"/>
          <w:szCs w:val="22"/>
          <w:lang w:eastAsia="ja-JP"/>
        </w:rPr>
        <w:t>.</w:t>
      </w:r>
      <w:r w:rsidR="002A7F84" w:rsidRPr="002866B3">
        <w:rPr>
          <w:rFonts w:ascii="Arial" w:hAnsi="Arial" w:cs="Arial" w:hint="eastAsia"/>
          <w:sz w:val="22"/>
          <w:szCs w:val="22"/>
          <w:lang w:eastAsia="ja-JP"/>
        </w:rPr>
        <w:t xml:space="preserve"> </w:t>
      </w:r>
      <w:r w:rsidR="002866B3" w:rsidRPr="002866B3">
        <w:rPr>
          <w:rFonts w:ascii="Arial" w:hAnsi="Arial" w:cs="Arial"/>
          <w:sz w:val="22"/>
          <w:szCs w:val="22"/>
          <w:lang w:eastAsia="ja-JP"/>
        </w:rPr>
        <w:t>And</w:t>
      </w:r>
      <w:r w:rsidR="002866B3" w:rsidRPr="002866B3">
        <w:rPr>
          <w:rFonts w:ascii="Arial" w:hAnsi="Arial" w:cs="Arial" w:hint="eastAsia"/>
          <w:sz w:val="22"/>
          <w:szCs w:val="22"/>
          <w:lang w:eastAsia="ja-JP"/>
        </w:rPr>
        <w:t xml:space="preserve"> </w:t>
      </w:r>
      <w:r w:rsidR="002866B3" w:rsidRPr="002866B3">
        <w:rPr>
          <w:rFonts w:ascii="Arial" w:hAnsi="Arial" w:cs="Arial"/>
          <w:sz w:val="22"/>
          <w:szCs w:val="22"/>
          <w:lang w:eastAsia="ja-JP"/>
        </w:rPr>
        <w:t>the following functional aspects of WAB-nodes</w:t>
      </w:r>
      <w:r w:rsidR="002866B3">
        <w:rPr>
          <w:rFonts w:ascii="Arial" w:hAnsi="Arial" w:cs="Arial" w:hint="eastAsia"/>
          <w:sz w:val="22"/>
          <w:szCs w:val="22"/>
          <w:lang w:eastAsia="zh-CN"/>
        </w:rPr>
        <w:t xml:space="preserve"> need to be discussed in WI </w:t>
      </w:r>
      <w:r w:rsidR="002866B3">
        <w:rPr>
          <w:rFonts w:ascii="Arial" w:hAnsi="Arial" w:cs="Arial"/>
          <w:sz w:val="22"/>
          <w:szCs w:val="22"/>
          <w:lang w:eastAsia="zh-CN"/>
        </w:rPr>
        <w:t>Phase</w:t>
      </w:r>
      <w:r w:rsidR="002866B3">
        <w:rPr>
          <w:rFonts w:ascii="Arial" w:hAnsi="Arial" w:cs="Arial" w:hint="eastAsia"/>
          <w:sz w:val="22"/>
          <w:szCs w:val="22"/>
          <w:lang w:eastAsia="zh-CN"/>
        </w:rPr>
        <w:t>:</w:t>
      </w:r>
    </w:p>
    <w:p w14:paraId="14C31C0E"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NG interface aspects.</w:t>
      </w:r>
    </w:p>
    <w:p w14:paraId="1C17F68B"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WAB authorization.</w:t>
      </w:r>
    </w:p>
    <w:p w14:paraId="5E59E17A"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Mobility handling.</w:t>
      </w:r>
    </w:p>
    <w:p w14:paraId="17216DBA" w14:textId="392BDAE4" w:rsidR="002866B3"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Xn interface aspects.</w:t>
      </w:r>
    </w:p>
    <w:p w14:paraId="675AFA30" w14:textId="4F2B00EE" w:rsidR="002D1FE6" w:rsidRPr="002866B3" w:rsidRDefault="005C6AB1" w:rsidP="002866B3">
      <w:pPr>
        <w:spacing w:line="360" w:lineRule="auto"/>
        <w:jc w:val="both"/>
        <w:rPr>
          <w:rFonts w:ascii="Arial" w:hAnsi="Arial" w:cs="Arial"/>
          <w:sz w:val="22"/>
          <w:szCs w:val="22"/>
          <w:lang w:eastAsia="zh-CN"/>
        </w:rPr>
      </w:pPr>
      <w:r w:rsidRPr="005C6AB1">
        <w:rPr>
          <w:rFonts w:ascii="Arial" w:hAnsi="Arial" w:cs="Arial"/>
          <w:sz w:val="22"/>
          <w:szCs w:val="22"/>
          <w:lang w:eastAsia="zh-CN"/>
        </w:rPr>
        <w:t xml:space="preserve">Furthermore, according to the note in the WID, RAN2 impact should be identified as early as possible and kept to a minimum. During the SI phase, discussions on RAN2 impact were limited, as it was assumed that the WAB would not affect the Uu interface. Since the WAB entity consists of two components, namely WAB-MT and WAB-gNB—similar to IAB and NCR—it is necessary to define the functionalities of WAB-MT and the </w:t>
      </w:r>
      <w:r w:rsidR="00023B13" w:rsidRPr="005C6AB1">
        <w:rPr>
          <w:rFonts w:ascii="Arial" w:hAnsi="Arial" w:cs="Arial"/>
          <w:sz w:val="22"/>
          <w:szCs w:val="22"/>
          <w:lang w:eastAsia="zh-CN"/>
        </w:rPr>
        <w:t>behaviour</w:t>
      </w:r>
      <w:r w:rsidRPr="005C6AB1">
        <w:rPr>
          <w:rFonts w:ascii="Arial" w:hAnsi="Arial" w:cs="Arial"/>
          <w:sz w:val="22"/>
          <w:szCs w:val="22"/>
          <w:lang w:eastAsia="zh-CN"/>
        </w:rPr>
        <w:t xml:space="preserve"> of WAB-gNB during mobility procedures, at least in Stage 2. This contribution primarily focuses on the RAN2 impact and functional aspects of WAB.</w:t>
      </w:r>
    </w:p>
    <w:p w14:paraId="79C71067" w14:textId="77777777" w:rsidR="00FB6E00" w:rsidRDefault="00A356BC" w:rsidP="00CA4DF5">
      <w:pPr>
        <w:pStyle w:val="1"/>
        <w:ind w:left="0" w:firstLine="0"/>
        <w:rPr>
          <w:lang w:eastAsia="zh-CN"/>
        </w:rPr>
      </w:pPr>
      <w:r>
        <w:rPr>
          <w:rFonts w:hint="eastAsia"/>
          <w:lang w:eastAsia="zh-CN"/>
        </w:rPr>
        <w:t>Discussion</w:t>
      </w:r>
    </w:p>
    <w:p w14:paraId="7A1CBE23" w14:textId="3576419A" w:rsidR="00036848" w:rsidRDefault="00036848" w:rsidP="00DD0277">
      <w:pPr>
        <w:pStyle w:val="20"/>
        <w:ind w:left="0" w:firstLine="0"/>
        <w:rPr>
          <w:lang w:eastAsia="zh-CN"/>
        </w:rPr>
      </w:pPr>
      <w:r>
        <w:rPr>
          <w:rFonts w:hint="eastAsia"/>
          <w:lang w:eastAsia="zh-CN"/>
        </w:rPr>
        <w:t>RRC States</w:t>
      </w:r>
    </w:p>
    <w:p w14:paraId="5576E4F0" w14:textId="01BC24B0" w:rsidR="008C2F93" w:rsidRPr="00EE4BBA" w:rsidRDefault="008C2F93" w:rsidP="00CE26FF">
      <w:pPr>
        <w:spacing w:line="360" w:lineRule="auto"/>
        <w:jc w:val="both"/>
        <w:rPr>
          <w:rFonts w:ascii="Arial" w:hAnsi="Arial" w:cs="Arial"/>
          <w:sz w:val="22"/>
          <w:szCs w:val="22"/>
          <w:lang w:eastAsia="ja-JP"/>
        </w:rPr>
      </w:pPr>
      <w:r w:rsidRPr="00EE4BBA">
        <w:rPr>
          <w:rFonts w:ascii="Arial" w:hAnsi="Arial" w:cs="Arial" w:hint="eastAsia"/>
          <w:sz w:val="22"/>
          <w:szCs w:val="22"/>
          <w:lang w:eastAsia="ja-JP"/>
        </w:rPr>
        <w:t xml:space="preserve">According to </w:t>
      </w:r>
      <w:r w:rsidRPr="00EE4BBA">
        <w:rPr>
          <w:rFonts w:ascii="Arial" w:hAnsi="Arial" w:cs="Arial"/>
          <w:sz w:val="22"/>
          <w:szCs w:val="22"/>
          <w:lang w:eastAsia="ja-JP"/>
        </w:rPr>
        <w:t>agreement</w:t>
      </w:r>
      <w:r w:rsidRPr="00EE4BBA">
        <w:rPr>
          <w:rFonts w:ascii="Arial" w:hAnsi="Arial" w:cs="Arial" w:hint="eastAsia"/>
          <w:sz w:val="22"/>
          <w:szCs w:val="22"/>
          <w:lang w:eastAsia="ja-JP"/>
        </w:rPr>
        <w:t xml:space="preserve"> in RAN3#125bis meeting, WAB-MT supports at least a subset of functionalities:</w:t>
      </w:r>
    </w:p>
    <w:p w14:paraId="6338BB13" w14:textId="29D83760" w:rsidR="008C2F93" w:rsidRPr="00EE4BBA" w:rsidRDefault="008C2F93" w:rsidP="00EE4BBA">
      <w:pPr>
        <w:spacing w:line="360" w:lineRule="auto"/>
        <w:jc w:val="both"/>
        <w:rPr>
          <w:rFonts w:ascii="Arial" w:hAnsi="Arial" w:cs="Arial"/>
          <w:b/>
          <w:bCs/>
          <w:color w:val="00B050"/>
          <w:sz w:val="22"/>
          <w:szCs w:val="22"/>
          <w:lang w:eastAsia="ja-JP"/>
        </w:rPr>
      </w:pPr>
      <w:r w:rsidRPr="00EE4BBA">
        <w:rPr>
          <w:rFonts w:ascii="Arial" w:hAnsi="Arial" w:cs="Arial"/>
          <w:b/>
          <w:bCs/>
          <w:color w:val="00B050"/>
          <w:sz w:val="22"/>
          <w:szCs w:val="22"/>
          <w:lang w:eastAsia="ja-JP"/>
        </w:rPr>
        <w:t>The WAB-MT supports at least a subset of UE functionalities.</w:t>
      </w:r>
    </w:p>
    <w:p w14:paraId="34B0AE2A" w14:textId="6897F7ED" w:rsidR="00301E86" w:rsidRPr="00301E86" w:rsidRDefault="00301E86" w:rsidP="00301E86">
      <w:pPr>
        <w:spacing w:line="360" w:lineRule="auto"/>
        <w:jc w:val="both"/>
        <w:rPr>
          <w:rFonts w:ascii="Arial" w:hAnsi="Arial" w:cs="Arial"/>
          <w:sz w:val="22"/>
          <w:szCs w:val="22"/>
          <w:lang w:eastAsia="ja-JP"/>
        </w:rPr>
      </w:pPr>
      <w:r w:rsidRPr="00301E86">
        <w:rPr>
          <w:rFonts w:ascii="Arial" w:hAnsi="Arial" w:cs="Arial"/>
          <w:sz w:val="22"/>
          <w:szCs w:val="22"/>
          <w:lang w:eastAsia="ja-JP"/>
        </w:rPr>
        <w:t>Therefore, it is necessary to determine whether all RRC states are supported in WAB-MT. The behaviors and functionalities of NCR-MT and IAB-MT are documented in existing Stage 2 and Stage 3 specifications. As stated in TS38.300, NCR-MT supports all RRC states, as well as the behavior of NCR-Fwd during state transitions.</w:t>
      </w:r>
    </w:p>
    <w:p w14:paraId="4EDFB5E6" w14:textId="791653C0" w:rsidR="008A4E34" w:rsidRDefault="00301E86" w:rsidP="00301E86">
      <w:pPr>
        <w:spacing w:line="360" w:lineRule="auto"/>
        <w:jc w:val="both"/>
        <w:rPr>
          <w:rFonts w:ascii="Arial" w:hAnsi="Arial" w:cs="Arial"/>
          <w:sz w:val="22"/>
          <w:szCs w:val="22"/>
          <w:lang w:eastAsia="ja-JP"/>
        </w:rPr>
      </w:pPr>
      <w:r w:rsidRPr="00301E86">
        <w:rPr>
          <w:rFonts w:ascii="Arial" w:hAnsi="Arial" w:cs="Arial"/>
          <w:sz w:val="22"/>
          <w:szCs w:val="22"/>
          <w:lang w:eastAsia="ja-JP"/>
        </w:rPr>
        <w:t>Similarly, WAB-MT must support all existing RRC states, namely Connected, Idle, and Inactive. Additionally, WAB-MT must support all SRBs, as it may be configured with either a single carrier or MR-DC by BH gNB(s). Based on this analysis, it is concluded that WAB-MT must support all RRC states and all types of SRBs.</w:t>
      </w:r>
    </w:p>
    <w:p w14:paraId="42C0493F" w14:textId="77777777" w:rsidR="00301E86" w:rsidRPr="00A473E2" w:rsidRDefault="00301E86" w:rsidP="00CE26FF">
      <w:pPr>
        <w:spacing w:line="360" w:lineRule="auto"/>
        <w:jc w:val="both"/>
        <w:rPr>
          <w:rFonts w:ascii="Arial" w:hAnsi="Arial" w:cs="Arial"/>
          <w:sz w:val="22"/>
          <w:szCs w:val="22"/>
          <w:lang w:eastAsia="ja-JP"/>
        </w:rPr>
      </w:pPr>
    </w:p>
    <w:p w14:paraId="3E520C9D" w14:textId="13329002" w:rsidR="00807B25" w:rsidRPr="00EE4BBA" w:rsidRDefault="00205622" w:rsidP="00CE26FF">
      <w:pPr>
        <w:spacing w:line="360" w:lineRule="auto"/>
        <w:jc w:val="both"/>
        <w:rPr>
          <w:rFonts w:ascii="Arial" w:hAnsi="Arial" w:cs="Arial"/>
          <w:sz w:val="22"/>
          <w:szCs w:val="22"/>
          <w:lang w:eastAsia="ja-JP"/>
        </w:rPr>
      </w:pPr>
      <w:r w:rsidRPr="00EE4BBA">
        <w:rPr>
          <w:rFonts w:ascii="Arial" w:hAnsi="Arial" w:cs="Arial"/>
          <w:noProof/>
          <w:sz w:val="22"/>
          <w:szCs w:val="22"/>
          <w:lang w:eastAsia="ja-JP"/>
        </w:rPr>
        <mc:AlternateContent>
          <mc:Choice Requires="wps">
            <w:drawing>
              <wp:anchor distT="0" distB="0" distL="114300" distR="114300" simplePos="0" relativeHeight="251659264" behindDoc="0" locked="0" layoutInCell="1" allowOverlap="1" wp14:anchorId="10DF43DB" wp14:editId="603AD36A">
                <wp:simplePos x="0" y="0"/>
                <wp:positionH relativeFrom="column">
                  <wp:posOffset>0</wp:posOffset>
                </wp:positionH>
                <wp:positionV relativeFrom="paragraph">
                  <wp:posOffset>0</wp:posOffset>
                </wp:positionV>
                <wp:extent cx="1828800" cy="1828800"/>
                <wp:effectExtent l="0" t="0" r="0" b="0"/>
                <wp:wrapSquare wrapText="bothSides"/>
                <wp:docPr id="191972170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37A0A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is in RRC_CONNECTED state, the NCR-Fwd may amplify-and-forward RF signals based on the side control information received from the gNB. The NCR-MT does not support RRM measurements in RRC_CONNECTED.</w:t>
                            </w:r>
                          </w:p>
                          <w:p w14:paraId="001A295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transitions from RRC_CONNECTED state to RRC_INACTIVE state, the NCR-Fwd may continue to amplify-and-forward RF signals in accordance with the last side control information received from the gNB. When the NCR-MT is in RRC_INACTIVE state, the NCR-Fwd ceases to amplify-and-forward RF signals if no suitable cell is detected, or if the NCR-MT selects a different cell than the last serving cell on which side control configuration was received.</w:t>
                            </w:r>
                          </w:p>
                          <w:p w14:paraId="06AFC053"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an NCR-MT in RRC_INACTIVE state determines degradation of the NCR-Fwd backhaul link beam, then the NCR-Fwd should cease amplifying-and-forwarding RF signals, and the NCR-MT should attempt to resume its RRC connection (with cause value mo-Signalling). The criteria to evaluate backhaul beam degradation are left to the NCR-node implementation.</w:t>
                            </w:r>
                          </w:p>
                          <w:p w14:paraId="1F71F6F7" w14:textId="77777777" w:rsidR="00205622" w:rsidRPr="006D75F8" w:rsidRDefault="00205622" w:rsidP="006D75F8">
                            <w:pPr>
                              <w:spacing w:line="360" w:lineRule="auto"/>
                              <w:rPr>
                                <w:i/>
                                <w:iCs/>
                                <w:sz w:val="22"/>
                              </w:rPr>
                            </w:pPr>
                            <w:r w:rsidRPr="008A4E34">
                              <w:rPr>
                                <w:i/>
                                <w:iCs/>
                                <w:sz w:val="22"/>
                                <w:szCs w:val="22"/>
                                <w:lang w:eastAsia="zh-CN"/>
                              </w:rPr>
                              <w:t>When the NCR-MT transitions from RRC_CONNECTED state to RRC_IDLE, the NCR-Fwd ceases any amplifying-and-forwarding of RF signals. How an NCR-MT transitions back from RRC_IDLE state to RRC_CONNECTED state is left to NCR-node or network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0DF43D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B37A0A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is in RRC_CONNECTED state, the NCR-Fwd may amplify-and-forward RF signals based on the side control information received from the gNB. The NCR-MT does not support RRM measurements in RRC_CONNECTED.</w:t>
                      </w:r>
                    </w:p>
                    <w:p w14:paraId="001A295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transitions from RRC_CONNECTED state to RRC_INACTIVE state, the NCR-Fwd may continue to amplify-and-forward RF signals in accordance with the last side control information received from the gNB. When the NCR-MT is in RRC_INACTIVE state, the NCR-Fwd ceases to amplify-and-forward RF signals if no suitable cell is detected, or if the NCR-MT selects a different cell than the last serving cell on which side control configuration was received.</w:t>
                      </w:r>
                    </w:p>
                    <w:p w14:paraId="06AFC053"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an NCR-MT in RRC_INACTIVE state determines degradation of the NCR-Fwd backhaul link beam, then the NCR-Fwd should cease amplifying-and-forwarding RF signals, and the NCR-MT should attempt to resume its RRC connection (with cause value mo-Signalling). The criteria to evaluate backhaul beam degradation are left to the NCR-node implementation.</w:t>
                      </w:r>
                    </w:p>
                    <w:p w14:paraId="1F71F6F7" w14:textId="77777777" w:rsidR="00205622" w:rsidRPr="006D75F8" w:rsidRDefault="00205622" w:rsidP="006D75F8">
                      <w:pPr>
                        <w:spacing w:line="360" w:lineRule="auto"/>
                        <w:rPr>
                          <w:i/>
                          <w:iCs/>
                          <w:sz w:val="22"/>
                        </w:rPr>
                      </w:pPr>
                      <w:r w:rsidRPr="008A4E34">
                        <w:rPr>
                          <w:i/>
                          <w:iCs/>
                          <w:sz w:val="22"/>
                          <w:szCs w:val="22"/>
                          <w:lang w:eastAsia="zh-CN"/>
                        </w:rPr>
                        <w:t>When the NCR-MT transitions from RRC_CONNECTED state to RRC_IDLE, the NCR-Fwd ceases any amplifying-and-forwarding of RF signals. How an NCR-MT transitions back from RRC_IDLE state to RRC_CONNECTED state is left to NCR-node or network implementation.</w:t>
                      </w:r>
                    </w:p>
                  </w:txbxContent>
                </v:textbox>
                <w10:wrap type="square"/>
              </v:shape>
            </w:pict>
          </mc:Fallback>
        </mc:AlternateContent>
      </w:r>
    </w:p>
    <w:p w14:paraId="1387EE02" w14:textId="44BBF083" w:rsidR="00BD5BE1" w:rsidRPr="00EE4BBA" w:rsidRDefault="001D1E88" w:rsidP="00EE4BBA">
      <w:pPr>
        <w:spacing w:line="360" w:lineRule="auto"/>
        <w:jc w:val="both"/>
        <w:rPr>
          <w:rFonts w:ascii="Arial" w:hAnsi="Arial" w:cs="Arial"/>
          <w:b/>
          <w:bCs/>
          <w:sz w:val="22"/>
          <w:szCs w:val="22"/>
          <w:lang w:eastAsia="ja-JP"/>
        </w:rPr>
      </w:pPr>
      <w:r w:rsidRPr="001D1E88">
        <w:rPr>
          <w:rFonts w:ascii="Arial" w:hAnsi="Arial" w:cs="Arial"/>
          <w:b/>
          <w:bCs/>
          <w:sz w:val="22"/>
          <w:szCs w:val="22"/>
          <w:lang w:eastAsia="ja-JP"/>
        </w:rPr>
        <w:t>Proposal 1: WAB-MT supports all RRC states and all types of SRBs.</w:t>
      </w:r>
    </w:p>
    <w:p w14:paraId="52E61575" w14:textId="4E5ABA72" w:rsidR="00682B7F" w:rsidRPr="00682B7F" w:rsidRDefault="00682B7F" w:rsidP="00682B7F">
      <w:pPr>
        <w:spacing w:line="360" w:lineRule="auto"/>
        <w:jc w:val="both"/>
        <w:rPr>
          <w:rFonts w:ascii="Arial" w:hAnsi="Arial" w:cs="Arial"/>
          <w:sz w:val="22"/>
          <w:szCs w:val="22"/>
          <w:lang w:eastAsia="ja-JP"/>
        </w:rPr>
      </w:pPr>
      <w:r w:rsidRPr="00682B7F">
        <w:rPr>
          <w:rFonts w:ascii="Arial" w:hAnsi="Arial" w:cs="Arial"/>
          <w:sz w:val="22"/>
          <w:szCs w:val="22"/>
          <w:lang w:eastAsia="ja-JP"/>
        </w:rPr>
        <w:t>In the Connected state, WAB-gNB can send and receive signals to and from the UE and establish Xn and NG interfaces with BH gNB/5GC. However, the behaviour of WAB-gNB in the Idle and Inactive states has not been previously discussed in RAN3 and RAN2 meetings. When WAB-MT transitions from the Connected state to the Idle state, WAB-gNB ceases signal transmission and reception with the UE, removes Xn/NG interfaces, and redirects all UEs to other NG-RAN or E-UTRAN nodes.</w:t>
      </w:r>
    </w:p>
    <w:p w14:paraId="5FD1FD6C" w14:textId="669199E0" w:rsidR="00682B7F" w:rsidRPr="00682B7F" w:rsidRDefault="00682B7F" w:rsidP="00682B7F">
      <w:pPr>
        <w:spacing w:line="360" w:lineRule="auto"/>
        <w:jc w:val="both"/>
        <w:rPr>
          <w:rFonts w:ascii="Arial" w:hAnsi="Arial" w:cs="Arial"/>
          <w:sz w:val="22"/>
          <w:szCs w:val="22"/>
          <w:lang w:eastAsia="ja-JP"/>
        </w:rPr>
      </w:pPr>
      <w:r w:rsidRPr="00682B7F">
        <w:rPr>
          <w:rFonts w:ascii="Arial" w:hAnsi="Arial" w:cs="Arial"/>
          <w:sz w:val="22"/>
          <w:szCs w:val="22"/>
          <w:lang w:eastAsia="ja-JP"/>
        </w:rPr>
        <w:t xml:space="preserve">For the Inactive state, whether WAB-gNB ceases signal transmission and reception requires further study in RAN2. From a RAN3 perspective, the Xn/NG interfaces could be maintained, as the arrival of Xn-C/NG-C </w:t>
      </w:r>
      <w:r w:rsidR="00C87857" w:rsidRPr="00682B7F">
        <w:rPr>
          <w:rFonts w:ascii="Arial" w:hAnsi="Arial" w:cs="Arial"/>
          <w:sz w:val="22"/>
          <w:szCs w:val="22"/>
          <w:lang w:eastAsia="ja-JP"/>
        </w:rPr>
        <w:t>signalling</w:t>
      </w:r>
      <w:r w:rsidRPr="00682B7F">
        <w:rPr>
          <w:rFonts w:ascii="Arial" w:hAnsi="Arial" w:cs="Arial"/>
          <w:sz w:val="22"/>
          <w:szCs w:val="22"/>
          <w:lang w:eastAsia="ja-JP"/>
        </w:rPr>
        <w:t xml:space="preserve"> or Xn-U/NG-U user plane data may trigger WAB-MT to transition from the Inactive to the Connected state. In summary, the behaviour of WAB-gNB in the Idle and Inactive states of WAB-MT requires further discussion in RAN2.</w:t>
      </w:r>
    </w:p>
    <w:p w14:paraId="1B6CA4E9" w14:textId="257EFB65" w:rsidR="00670A8D" w:rsidRPr="00682B7F" w:rsidRDefault="00682B7F" w:rsidP="00682B7F">
      <w:pPr>
        <w:spacing w:line="360" w:lineRule="auto"/>
        <w:jc w:val="both"/>
        <w:rPr>
          <w:rFonts w:ascii="Arial" w:hAnsi="Arial" w:cs="Arial"/>
          <w:b/>
          <w:bCs/>
          <w:sz w:val="22"/>
          <w:szCs w:val="22"/>
          <w:lang w:eastAsia="ja-JP"/>
        </w:rPr>
      </w:pPr>
      <w:r w:rsidRPr="00682B7F">
        <w:rPr>
          <w:rFonts w:ascii="Arial" w:hAnsi="Arial" w:cs="Arial"/>
          <w:b/>
          <w:bCs/>
          <w:sz w:val="22"/>
          <w:szCs w:val="22"/>
          <w:lang w:eastAsia="ja-JP"/>
        </w:rPr>
        <w:t>Proposal 2: The behaviour of WAB-gNB in the Idle and Inactive states of WAB-MT requires further discussion in RAN2.</w:t>
      </w:r>
    </w:p>
    <w:p w14:paraId="1BCD0974" w14:textId="680D6D68" w:rsidR="00707814" w:rsidRPr="00931B00" w:rsidRDefault="0028589C" w:rsidP="00DD0277">
      <w:pPr>
        <w:pStyle w:val="20"/>
        <w:ind w:left="0" w:firstLine="0"/>
        <w:rPr>
          <w:lang w:eastAsia="zh-CN"/>
        </w:rPr>
      </w:pPr>
      <w:r w:rsidRPr="00931B00">
        <w:rPr>
          <w:rFonts w:hint="eastAsia"/>
          <w:lang w:eastAsia="zh-CN"/>
        </w:rPr>
        <w:lastRenderedPageBreak/>
        <w:t>RLF and BFD/BFR</w:t>
      </w:r>
    </w:p>
    <w:p w14:paraId="7A2A2E34" w14:textId="51ABF44D" w:rsidR="00CE26FF" w:rsidRPr="00521469" w:rsidRDefault="00CE26FF" w:rsidP="009737D0">
      <w:pPr>
        <w:spacing w:line="360" w:lineRule="auto"/>
        <w:jc w:val="both"/>
        <w:rPr>
          <w:rFonts w:ascii="Arial" w:hAnsi="Arial" w:cs="Arial"/>
          <w:sz w:val="22"/>
          <w:szCs w:val="22"/>
          <w:lang w:eastAsia="ja-JP"/>
        </w:rPr>
      </w:pPr>
      <w:r w:rsidRPr="00521469">
        <w:rPr>
          <w:rFonts w:ascii="Arial" w:hAnsi="Arial" w:cs="Arial" w:hint="eastAsia"/>
          <w:sz w:val="22"/>
          <w:szCs w:val="22"/>
          <w:lang w:eastAsia="ja-JP"/>
        </w:rPr>
        <w:t xml:space="preserve">According to the NOTE6 in objective part of WID, the </w:t>
      </w:r>
      <w:r w:rsidRPr="00521469">
        <w:rPr>
          <w:rFonts w:ascii="Arial" w:hAnsi="Arial" w:cs="Arial"/>
          <w:sz w:val="22"/>
          <w:szCs w:val="22"/>
          <w:lang w:eastAsia="ja-JP"/>
        </w:rPr>
        <w:t xml:space="preserve">Mobility of the WAB-MTs </w:t>
      </w:r>
      <w:r w:rsidR="00E30BDF" w:rsidRPr="00521469">
        <w:rPr>
          <w:rFonts w:ascii="Arial" w:hAnsi="Arial" w:cs="Arial" w:hint="eastAsia"/>
          <w:sz w:val="22"/>
          <w:szCs w:val="22"/>
          <w:lang w:eastAsia="ja-JP"/>
        </w:rPr>
        <w:t>reuses the</w:t>
      </w:r>
      <w:r w:rsidRPr="00521469">
        <w:rPr>
          <w:rFonts w:ascii="Arial" w:hAnsi="Arial" w:cs="Arial"/>
          <w:sz w:val="22"/>
          <w:szCs w:val="22"/>
          <w:lang w:eastAsia="ja-JP"/>
        </w:rPr>
        <w:t xml:space="preserve"> legacy UE mobility procedures</w:t>
      </w:r>
      <w:r w:rsidR="00E30BDF" w:rsidRPr="00521469">
        <w:rPr>
          <w:rFonts w:ascii="Arial" w:hAnsi="Arial" w:cs="Arial" w:hint="eastAsia"/>
          <w:sz w:val="22"/>
          <w:szCs w:val="22"/>
          <w:lang w:eastAsia="ja-JP"/>
        </w:rPr>
        <w:t>.</w:t>
      </w:r>
      <w:r w:rsidR="002D0BA1" w:rsidRPr="00521469">
        <w:rPr>
          <w:rFonts w:ascii="Arial" w:hAnsi="Arial" w:cs="Arial" w:hint="eastAsia"/>
          <w:sz w:val="22"/>
          <w:szCs w:val="22"/>
          <w:lang w:eastAsia="ja-JP"/>
        </w:rPr>
        <w:t xml:space="preserve"> This NOTE</w:t>
      </w:r>
      <w:r w:rsidR="001C3A17" w:rsidRPr="00521469">
        <w:rPr>
          <w:rFonts w:ascii="Arial" w:hAnsi="Arial" w:cs="Arial" w:hint="eastAsia"/>
          <w:sz w:val="22"/>
          <w:szCs w:val="22"/>
          <w:lang w:eastAsia="ja-JP"/>
        </w:rPr>
        <w:t xml:space="preserve"> also</w:t>
      </w:r>
      <w:r w:rsidR="002D0BA1" w:rsidRPr="00521469">
        <w:rPr>
          <w:rFonts w:ascii="Arial" w:hAnsi="Arial" w:cs="Arial" w:hint="eastAsia"/>
          <w:sz w:val="22"/>
          <w:szCs w:val="22"/>
          <w:lang w:eastAsia="ja-JP"/>
        </w:rPr>
        <w:t xml:space="preserve"> implies that the WAB-MT shall supports RLF detection, </w:t>
      </w:r>
      <w:r w:rsidR="002D0BA1" w:rsidRPr="00521469">
        <w:rPr>
          <w:rFonts w:ascii="Arial" w:hAnsi="Arial" w:cs="Arial"/>
          <w:sz w:val="22"/>
          <w:szCs w:val="22"/>
          <w:lang w:eastAsia="ja-JP"/>
        </w:rPr>
        <w:t>Beam Failure Detection (BFD) and Beam Failure Recovery (BFR)</w:t>
      </w:r>
      <w:r w:rsidR="002D0BA1" w:rsidRPr="00521469">
        <w:rPr>
          <w:rFonts w:ascii="Arial" w:hAnsi="Arial" w:cs="Arial" w:hint="eastAsia"/>
          <w:sz w:val="22"/>
          <w:szCs w:val="22"/>
          <w:lang w:eastAsia="ja-JP"/>
        </w:rPr>
        <w:t xml:space="preserve"> procedure as normal UE.</w:t>
      </w:r>
    </w:p>
    <w:p w14:paraId="6603D2E1" w14:textId="6149E3B5" w:rsidR="00F60273" w:rsidRPr="007D3E50" w:rsidRDefault="00CE26FF" w:rsidP="003F39C8">
      <w:pPr>
        <w:spacing w:line="360" w:lineRule="auto"/>
        <w:jc w:val="both"/>
        <w:rPr>
          <w:rFonts w:ascii="Arial" w:hAnsi="Arial" w:cs="Arial"/>
          <w:i/>
          <w:iCs/>
          <w:sz w:val="22"/>
          <w:szCs w:val="22"/>
          <w:lang w:eastAsia="zh-CN"/>
        </w:rPr>
      </w:pPr>
      <w:r w:rsidRPr="00521469">
        <w:rPr>
          <w:rFonts w:ascii="Arial" w:hAnsi="Arial" w:cs="Arial"/>
          <w:i/>
          <w:iCs/>
          <w:sz w:val="22"/>
          <w:szCs w:val="22"/>
          <w:lang w:eastAsia="ja-JP"/>
        </w:rPr>
        <w:t xml:space="preserve">NOTE </w:t>
      </w:r>
      <w:r w:rsidRPr="00521469">
        <w:rPr>
          <w:rFonts w:ascii="Arial" w:hAnsi="Arial" w:cs="Arial" w:hint="eastAsia"/>
          <w:i/>
          <w:iCs/>
          <w:sz w:val="22"/>
          <w:szCs w:val="22"/>
          <w:lang w:eastAsia="ja-JP"/>
        </w:rPr>
        <w:t>6</w:t>
      </w:r>
      <w:r w:rsidRPr="00521469">
        <w:rPr>
          <w:rFonts w:ascii="Arial" w:hAnsi="Arial" w:cs="Arial"/>
          <w:i/>
          <w:iCs/>
          <w:sz w:val="22"/>
          <w:szCs w:val="22"/>
          <w:lang w:eastAsia="ja-JP"/>
        </w:rPr>
        <w:t xml:space="preserve">: Mobility procedures to be used for the UEs served by a WAB-gNB are legacy UE mobility procedures. </w:t>
      </w:r>
      <w:r w:rsidRPr="00521469">
        <w:rPr>
          <w:rFonts w:ascii="Arial" w:hAnsi="Arial" w:cs="Arial"/>
          <w:i/>
          <w:iCs/>
          <w:sz w:val="22"/>
          <w:szCs w:val="22"/>
          <w:highlight w:val="yellow"/>
          <w:lang w:eastAsia="ja-JP"/>
        </w:rPr>
        <w:t>Mobility of the WAB-MTs is based on legacy UE mobility procedures.</w:t>
      </w:r>
    </w:p>
    <w:p w14:paraId="689A82FB" w14:textId="77777777" w:rsidR="007D3E50" w:rsidRPr="007D3E50" w:rsidRDefault="007D3E50" w:rsidP="007D3E50">
      <w:pPr>
        <w:spacing w:line="360" w:lineRule="auto"/>
        <w:jc w:val="both"/>
        <w:rPr>
          <w:rFonts w:ascii="Arial" w:hAnsi="Arial" w:cs="Arial"/>
          <w:sz w:val="22"/>
          <w:szCs w:val="22"/>
          <w:lang w:eastAsia="ja-JP"/>
        </w:rPr>
      </w:pPr>
      <w:r w:rsidRPr="007D3E50">
        <w:rPr>
          <w:rFonts w:ascii="Arial" w:hAnsi="Arial" w:cs="Arial"/>
          <w:sz w:val="22"/>
          <w:szCs w:val="22"/>
          <w:lang w:eastAsia="ja-JP"/>
        </w:rPr>
        <w:t>According to NOTE 6 in the objective section of the WID, the mobility of WAB-MTs follows legacy UE mobility procedures. This note also implies that WAB-MT must support Radio Link Failure (RLF) detection, Beam Failure Detection (BFD), and the Beam Failure Recovery (BFR) procedure, similar to a standard UE.</w:t>
      </w:r>
    </w:p>
    <w:p w14:paraId="0A9FD631" w14:textId="77777777" w:rsidR="007D3E50" w:rsidRPr="007D3E50" w:rsidRDefault="007D3E50" w:rsidP="007D3E50">
      <w:pPr>
        <w:spacing w:line="360" w:lineRule="auto"/>
        <w:jc w:val="both"/>
        <w:rPr>
          <w:rFonts w:ascii="Arial" w:hAnsi="Arial" w:cs="Arial"/>
          <w:sz w:val="22"/>
          <w:szCs w:val="22"/>
          <w:lang w:eastAsia="ja-JP"/>
        </w:rPr>
      </w:pPr>
      <w:r w:rsidRPr="007D3E50">
        <w:rPr>
          <w:rFonts w:ascii="Arial" w:hAnsi="Arial" w:cs="Arial"/>
          <w:sz w:val="22"/>
          <w:szCs w:val="22"/>
          <w:lang w:eastAsia="ja-JP"/>
        </w:rPr>
        <w:t>When RLF is detected during a mobility procedure, WAB-MT performs the RRC re-establishment procedure as a legacy UE. However, during this procedure, the behavior of WAB-MT requires further discussion in RAN2, as WAB-gNB disconnects from the BH gNB before the re-establishment process is completed. Similarly, for NCR-MT, the behavior of NCR-Fwd must also be specified in the Stage 2 specification.</w:t>
      </w:r>
    </w:p>
    <w:p w14:paraId="19386F62" w14:textId="29C52690" w:rsidR="007D3E50" w:rsidRPr="001A02E4" w:rsidRDefault="007D3E50" w:rsidP="003F39C8">
      <w:pPr>
        <w:spacing w:line="360" w:lineRule="auto"/>
        <w:jc w:val="both"/>
        <w:rPr>
          <w:rFonts w:ascii="Arial" w:hAnsi="Arial" w:cs="Arial"/>
          <w:b/>
          <w:bCs/>
          <w:sz w:val="22"/>
          <w:szCs w:val="22"/>
          <w:lang w:eastAsia="zh-CN"/>
        </w:rPr>
      </w:pPr>
      <w:r w:rsidRPr="007D3E50">
        <w:rPr>
          <w:rFonts w:ascii="Arial" w:hAnsi="Arial" w:cs="Arial"/>
          <w:b/>
          <w:bCs/>
          <w:sz w:val="22"/>
          <w:szCs w:val="22"/>
          <w:lang w:eastAsia="ja-JP"/>
        </w:rPr>
        <w:t>Proposal 3: The behavior of WAB-gNB during RLF or Beam Failure must be discussed in the RAN2 WI phase</w:t>
      </w:r>
      <w:r w:rsidR="001A02E4">
        <w:rPr>
          <w:rFonts w:ascii="Arial" w:hAnsi="Arial" w:cs="Arial" w:hint="eastAsia"/>
          <w:b/>
          <w:bCs/>
          <w:sz w:val="22"/>
          <w:szCs w:val="22"/>
          <w:lang w:eastAsia="zh-CN"/>
        </w:rPr>
        <w:t>.</w:t>
      </w:r>
    </w:p>
    <w:p w14:paraId="0E2AF740" w14:textId="692B8394" w:rsidR="009C40FC" w:rsidRPr="009C40FC" w:rsidRDefault="00E7534E" w:rsidP="00DD0277">
      <w:pPr>
        <w:pStyle w:val="20"/>
        <w:ind w:left="0" w:firstLine="0"/>
        <w:rPr>
          <w:lang w:eastAsia="zh-CN"/>
        </w:rPr>
      </w:pPr>
      <w:r>
        <w:rPr>
          <w:rFonts w:hint="eastAsia"/>
          <w:lang w:eastAsia="zh-CN"/>
        </w:rPr>
        <w:t>Access Control</w:t>
      </w:r>
    </w:p>
    <w:p w14:paraId="16A4EFC9" w14:textId="77777777" w:rsidR="00126BF7" w:rsidRPr="00126BF7" w:rsidRDefault="00126BF7" w:rsidP="00126BF7">
      <w:pPr>
        <w:spacing w:line="360" w:lineRule="auto"/>
        <w:jc w:val="both"/>
        <w:rPr>
          <w:rFonts w:ascii="Arial" w:hAnsi="Arial" w:cs="Arial"/>
          <w:sz w:val="22"/>
          <w:szCs w:val="22"/>
          <w:lang w:eastAsia="ja-JP"/>
        </w:rPr>
      </w:pPr>
      <w:r w:rsidRPr="00126BF7">
        <w:rPr>
          <w:rFonts w:ascii="Arial" w:hAnsi="Arial" w:cs="Arial"/>
          <w:sz w:val="22"/>
          <w:szCs w:val="22"/>
          <w:lang w:eastAsia="ja-JP"/>
        </w:rPr>
        <w:t>To prevent a WAB-MT from attempting to access the cell of a WAB-gNB, a mechanism must be specified to avoid multi-hop scenarios. One potential solution is to introduce a new indicator in SIB1 to signal WAB support. The WAB-MT should treat a cell broadcasting this new indicator as a barred cell, while legacy UEs should ignore it.</w:t>
      </w:r>
    </w:p>
    <w:p w14:paraId="508FA412" w14:textId="77777777" w:rsidR="00126BF7" w:rsidRPr="00126BF7" w:rsidRDefault="00126BF7" w:rsidP="00126BF7">
      <w:pPr>
        <w:spacing w:line="360" w:lineRule="auto"/>
        <w:jc w:val="both"/>
        <w:rPr>
          <w:rFonts w:ascii="Arial" w:hAnsi="Arial" w:cs="Arial"/>
          <w:sz w:val="22"/>
          <w:szCs w:val="22"/>
          <w:lang w:eastAsia="ja-JP"/>
        </w:rPr>
      </w:pPr>
      <w:r w:rsidRPr="00126BF7">
        <w:rPr>
          <w:rFonts w:ascii="Arial" w:hAnsi="Arial" w:cs="Arial"/>
          <w:sz w:val="22"/>
          <w:szCs w:val="22"/>
          <w:lang w:eastAsia="ja-JP"/>
        </w:rPr>
        <w:t>Additionally, since IAB and NCR are alternative methods for extending coverage and enhancing wireless topology, RAN2 must determine whether WAB should support NCR and IAB. In our view, WAB should not support NCR and IAB to prevent multi-hop scenarios, and a Stage 2 specification detailing this conclusion is necessary.</w:t>
      </w:r>
    </w:p>
    <w:p w14:paraId="3F49BB3A" w14:textId="77777777" w:rsidR="00126BF7" w:rsidRPr="009F597C" w:rsidRDefault="00126BF7" w:rsidP="00126BF7">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4: The decision on whether WAB should support NCR and IAB should be made by RAN2.</w:t>
      </w:r>
    </w:p>
    <w:p w14:paraId="7C18D8F7" w14:textId="695364AA" w:rsidR="00C34B32" w:rsidRPr="003F39C8" w:rsidRDefault="00E421C3" w:rsidP="00126BF7">
      <w:pPr>
        <w:spacing w:line="360" w:lineRule="auto"/>
        <w:jc w:val="both"/>
        <w:rPr>
          <w:rFonts w:ascii="Arial" w:hAnsi="Arial" w:cs="Arial"/>
          <w:sz w:val="22"/>
          <w:szCs w:val="22"/>
          <w:lang w:eastAsia="ja-JP"/>
        </w:rPr>
      </w:pPr>
      <w:r w:rsidRPr="00E421C3">
        <w:rPr>
          <w:rFonts w:ascii="Arial" w:hAnsi="Arial" w:cs="Arial"/>
          <w:sz w:val="22"/>
          <w:szCs w:val="22"/>
          <w:lang w:eastAsia="ja-JP"/>
        </w:rPr>
        <w:t>Furthermore, several aspects related to IAB-MT and NCR-MT have been discussed within the scope of RAN2. Accordingly, RAN2 must also determine whether these aspects are applicable to WAB-MT:</w:t>
      </w:r>
    </w:p>
    <w:p w14:paraId="0C2FB797" w14:textId="385F52B0" w:rsidR="00C34B32"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t>Cell status and cell reservations</w:t>
      </w:r>
      <w:r w:rsidRPr="003F39C8">
        <w:rPr>
          <w:rFonts w:ascii="Arial" w:hAnsi="Arial" w:cs="Arial" w:hint="eastAsia"/>
          <w:b/>
          <w:bCs/>
          <w:sz w:val="22"/>
          <w:szCs w:val="22"/>
          <w:lang w:eastAsia="ja-JP"/>
        </w:rPr>
        <w:t xml:space="preserve">: </w:t>
      </w:r>
      <w:r w:rsidRPr="003F39C8">
        <w:rPr>
          <w:rFonts w:ascii="Arial" w:hAnsi="Arial" w:cs="Arial" w:hint="eastAsia"/>
          <w:sz w:val="22"/>
          <w:szCs w:val="22"/>
          <w:lang w:eastAsia="ja-JP"/>
        </w:rPr>
        <w:t xml:space="preserve">Both IAB-MT and NCR-MT </w:t>
      </w:r>
      <w:r w:rsidRPr="003F39C8">
        <w:rPr>
          <w:rFonts w:ascii="Arial" w:hAnsi="Arial" w:cs="Arial"/>
          <w:sz w:val="22"/>
          <w:szCs w:val="22"/>
          <w:lang w:eastAsia="ja-JP"/>
        </w:rPr>
        <w:t>ignore the</w:t>
      </w:r>
      <w:r w:rsidRPr="003F39C8">
        <w:rPr>
          <w:rFonts w:ascii="Arial" w:hAnsi="Arial" w:cs="Arial" w:hint="eastAsia"/>
          <w:sz w:val="22"/>
          <w:szCs w:val="22"/>
          <w:lang w:eastAsia="ja-JP"/>
        </w:rPr>
        <w:t xml:space="preserve"> </w:t>
      </w:r>
      <w:r w:rsidRPr="003F39C8">
        <w:rPr>
          <w:rFonts w:ascii="Arial" w:hAnsi="Arial" w:cs="Arial"/>
          <w:sz w:val="22"/>
          <w:szCs w:val="22"/>
          <w:lang w:eastAsia="ja-JP"/>
        </w:rPr>
        <w:t>existing</w:t>
      </w:r>
      <w:r w:rsidRPr="003F39C8">
        <w:rPr>
          <w:rFonts w:ascii="Arial" w:hAnsi="Arial" w:cs="Arial" w:hint="eastAsia"/>
          <w:sz w:val="22"/>
          <w:szCs w:val="22"/>
          <w:lang w:eastAsia="ja-JP"/>
        </w:rPr>
        <w:t xml:space="preserve"> cell status and reservations in SIB</w:t>
      </w:r>
      <w:r w:rsidRPr="003F39C8">
        <w:rPr>
          <w:rFonts w:ascii="Arial" w:hAnsi="Arial" w:cs="Arial"/>
          <w:sz w:val="22"/>
          <w:szCs w:val="22"/>
          <w:lang w:eastAsia="ja-JP"/>
        </w:rPr>
        <w:t>1, e</w:t>
      </w:r>
      <w:r w:rsidRPr="003F39C8">
        <w:rPr>
          <w:rFonts w:ascii="Arial" w:hAnsi="Arial" w:cs="Arial" w:hint="eastAsia"/>
          <w:sz w:val="22"/>
          <w:szCs w:val="22"/>
          <w:lang w:eastAsia="ja-JP"/>
        </w:rPr>
        <w:t>.g,</w:t>
      </w:r>
      <w:r w:rsidRPr="003F39C8">
        <w:rPr>
          <w:rFonts w:ascii="Arial" w:hAnsi="Arial" w:cs="Arial"/>
          <w:sz w:val="22"/>
          <w:szCs w:val="22"/>
          <w:lang w:eastAsia="ja-JP"/>
        </w:rPr>
        <w:t xml:space="preserve"> cellBarred, cellReservedForOperatorUse, cellReservedForFutureUse, intraFreqReselection</w:t>
      </w:r>
      <w:r w:rsidRPr="003F39C8">
        <w:rPr>
          <w:rFonts w:ascii="Arial" w:hAnsi="Arial" w:cs="Arial" w:hint="eastAsia"/>
          <w:sz w:val="22"/>
          <w:szCs w:val="22"/>
          <w:lang w:eastAsia="ja-JP"/>
        </w:rPr>
        <w:t xml:space="preserve">, and </w:t>
      </w:r>
      <w:r w:rsidRPr="003F39C8">
        <w:rPr>
          <w:rFonts w:ascii="Arial" w:hAnsi="Arial" w:cs="Arial"/>
          <w:sz w:val="22"/>
          <w:szCs w:val="22"/>
          <w:lang w:eastAsia="ja-JP"/>
        </w:rPr>
        <w:t>cellReservedForOtherUse</w:t>
      </w:r>
      <w:r w:rsidRPr="003F39C8">
        <w:rPr>
          <w:rFonts w:ascii="Arial" w:hAnsi="Arial" w:cs="Arial" w:hint="eastAsia"/>
          <w:sz w:val="22"/>
          <w:szCs w:val="22"/>
          <w:lang w:eastAsia="ja-JP"/>
        </w:rPr>
        <w:t>.</w:t>
      </w:r>
    </w:p>
    <w:p w14:paraId="57518DE0" w14:textId="446BAE68" w:rsidR="00C34B32"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t>Unified Access Contro</w:t>
      </w:r>
      <w:r w:rsidRPr="003F39C8">
        <w:rPr>
          <w:rFonts w:ascii="Arial" w:hAnsi="Arial" w:cs="Arial" w:hint="eastAsia"/>
          <w:b/>
          <w:bCs/>
          <w:sz w:val="22"/>
          <w:szCs w:val="22"/>
          <w:lang w:eastAsia="ja-JP"/>
        </w:rPr>
        <w:t xml:space="preserve">l: </w:t>
      </w:r>
      <w:r w:rsidRPr="003F39C8">
        <w:rPr>
          <w:rFonts w:ascii="Arial" w:hAnsi="Arial" w:cs="Arial"/>
          <w:sz w:val="22"/>
          <w:szCs w:val="22"/>
          <w:lang w:eastAsia="ja-JP"/>
        </w:rPr>
        <w:t>Unified Access Control does not apply to IAB-MTs and NCR-MTs</w:t>
      </w:r>
    </w:p>
    <w:p w14:paraId="015A0988" w14:textId="03CB7DBD" w:rsidR="00AA3C89"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lastRenderedPageBreak/>
        <w:t>additional allowed cell list and/or forbidden cell list</w:t>
      </w:r>
      <w:r w:rsidRPr="003F39C8">
        <w:rPr>
          <w:rFonts w:ascii="Arial" w:hAnsi="Arial" w:cs="Arial" w:hint="eastAsia"/>
          <w:b/>
          <w:bCs/>
          <w:sz w:val="22"/>
          <w:szCs w:val="22"/>
          <w:lang w:eastAsia="ja-JP"/>
        </w:rPr>
        <w:t xml:space="preserve">: </w:t>
      </w:r>
      <w:r w:rsidR="00CC0A5B" w:rsidRPr="003F39C8">
        <w:rPr>
          <w:rFonts w:ascii="Arial" w:hAnsi="Arial" w:cs="Arial"/>
          <w:sz w:val="22"/>
          <w:szCs w:val="22"/>
          <w:lang w:eastAsia="ja-JP"/>
        </w:rPr>
        <w:t>NCR-MT may be configured with additional allowed cell list and/or forbidden cell list</w:t>
      </w:r>
      <w:r w:rsidR="00CC0A5B" w:rsidRPr="003F39C8">
        <w:rPr>
          <w:rFonts w:ascii="Arial" w:hAnsi="Arial" w:cs="Arial" w:hint="eastAsia"/>
          <w:sz w:val="22"/>
          <w:szCs w:val="22"/>
          <w:lang w:eastAsia="ja-JP"/>
        </w:rPr>
        <w:t xml:space="preserve">. And </w:t>
      </w:r>
      <w:r w:rsidR="00CC0A5B" w:rsidRPr="003F39C8">
        <w:rPr>
          <w:rFonts w:ascii="Arial" w:hAnsi="Arial" w:cs="Arial"/>
          <w:sz w:val="22"/>
          <w:szCs w:val="22"/>
          <w:lang w:eastAsia="ja-JP"/>
        </w:rPr>
        <w:t>The NCR-MT shall consider only the allowed cell list</w:t>
      </w:r>
      <w:r w:rsidR="00CC0A5B" w:rsidRPr="003F39C8">
        <w:rPr>
          <w:rFonts w:ascii="Arial" w:hAnsi="Arial" w:cs="Arial" w:hint="eastAsia"/>
          <w:sz w:val="22"/>
          <w:szCs w:val="22"/>
          <w:lang w:eastAsia="ja-JP"/>
        </w:rPr>
        <w:t xml:space="preserve"> for reselection candidate cells. </w:t>
      </w:r>
    </w:p>
    <w:p w14:paraId="0B126B80" w14:textId="6600E2D6" w:rsidR="009C40FC" w:rsidRDefault="00E421C3" w:rsidP="003F39C8">
      <w:pPr>
        <w:spacing w:line="360" w:lineRule="auto"/>
        <w:jc w:val="both"/>
        <w:rPr>
          <w:rFonts w:ascii="Arial" w:hAnsi="Arial" w:cs="Arial"/>
          <w:b/>
          <w:bCs/>
          <w:sz w:val="22"/>
          <w:szCs w:val="22"/>
          <w:lang w:eastAsia="zh-CN"/>
        </w:rPr>
      </w:pPr>
      <w:r w:rsidRPr="00E421C3">
        <w:rPr>
          <w:rFonts w:ascii="Arial" w:hAnsi="Arial" w:cs="Arial"/>
          <w:b/>
          <w:bCs/>
          <w:sz w:val="22"/>
          <w:szCs w:val="22"/>
          <w:lang w:eastAsia="zh-CN"/>
        </w:rPr>
        <w:t>Proposal 5: RAN2 should evaluate the necessity of including cell status and cell reservations, unified access control, and additional allowed or forbidden cell lists for WAB.</w:t>
      </w:r>
    </w:p>
    <w:p w14:paraId="40DDA079" w14:textId="7DA89D91" w:rsidR="006B0B12" w:rsidRPr="006B0B12" w:rsidRDefault="006B0B12" w:rsidP="003F39C8">
      <w:pPr>
        <w:spacing w:line="360" w:lineRule="auto"/>
        <w:jc w:val="both"/>
        <w:rPr>
          <w:rFonts w:ascii="Arial" w:hAnsi="Arial" w:cs="Arial"/>
          <w:b/>
          <w:bCs/>
          <w:sz w:val="22"/>
          <w:szCs w:val="22"/>
          <w:lang w:eastAsia="zh-CN"/>
        </w:rPr>
      </w:pPr>
      <w:r>
        <w:rPr>
          <w:rFonts w:ascii="Arial" w:hAnsi="Arial" w:cs="Arial"/>
          <w:b/>
          <w:bCs/>
          <w:sz w:val="22"/>
          <w:szCs w:val="22"/>
          <w:lang w:eastAsia="zh-CN"/>
        </w:rPr>
        <w:t>Proposal</w:t>
      </w:r>
      <w:r>
        <w:rPr>
          <w:rFonts w:ascii="Arial" w:hAnsi="Arial" w:cs="Arial" w:hint="eastAsia"/>
          <w:b/>
          <w:bCs/>
          <w:sz w:val="22"/>
          <w:szCs w:val="22"/>
          <w:lang w:eastAsia="zh-CN"/>
        </w:rPr>
        <w:t xml:space="preserve"> 6: RAN3 agree to send a LS to RAN2 to start their work </w:t>
      </w:r>
      <w:r>
        <w:rPr>
          <w:rFonts w:ascii="Arial" w:hAnsi="Arial" w:cs="Arial"/>
          <w:b/>
          <w:bCs/>
          <w:sz w:val="22"/>
          <w:szCs w:val="22"/>
          <w:lang w:eastAsia="zh-CN"/>
        </w:rPr>
        <w:t>immediately</w:t>
      </w:r>
      <w:r>
        <w:rPr>
          <w:rFonts w:ascii="Arial" w:hAnsi="Arial" w:cs="Arial" w:hint="eastAsia"/>
          <w:b/>
          <w:bCs/>
          <w:sz w:val="22"/>
          <w:szCs w:val="22"/>
          <w:lang w:eastAsia="zh-CN"/>
        </w:rPr>
        <w:t xml:space="preserve">. </w:t>
      </w:r>
    </w:p>
    <w:p w14:paraId="42B66424" w14:textId="77777777" w:rsidR="00B770B3" w:rsidRDefault="00A356BC">
      <w:pPr>
        <w:pStyle w:val="1"/>
        <w:rPr>
          <w:lang w:val="en-US"/>
        </w:rPr>
      </w:pPr>
      <w:r>
        <w:rPr>
          <w:lang w:eastAsia="zh-CN"/>
        </w:rPr>
        <w:t>Proposal</w:t>
      </w:r>
    </w:p>
    <w:p w14:paraId="6A2C838E" w14:textId="77777777" w:rsidR="00B770B3" w:rsidRPr="003F39C8" w:rsidRDefault="00A356BC" w:rsidP="003F39C8">
      <w:pPr>
        <w:spacing w:line="360" w:lineRule="auto"/>
        <w:jc w:val="both"/>
        <w:rPr>
          <w:rFonts w:ascii="Arial" w:hAnsi="Arial" w:cs="Arial"/>
          <w:sz w:val="22"/>
          <w:szCs w:val="22"/>
          <w:lang w:eastAsia="ja-JP"/>
        </w:rPr>
      </w:pPr>
      <w:r w:rsidRPr="003F39C8">
        <w:rPr>
          <w:rFonts w:ascii="Arial" w:hAnsi="Arial" w:cs="Arial"/>
          <w:sz w:val="22"/>
          <w:szCs w:val="22"/>
          <w:lang w:eastAsia="ja-JP"/>
        </w:rPr>
        <w:t>Based on the above analysis, we have the following proposals:</w:t>
      </w:r>
    </w:p>
    <w:p w14:paraId="0958FE9E"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1: WAB-MT supports all RRC states and all types of SRBs.</w:t>
      </w:r>
    </w:p>
    <w:p w14:paraId="362CBA95"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2: The behaviour of WAB-gNB in the Idle and Inactive states of WAB-MT requires further discussion in RAN2.</w:t>
      </w:r>
    </w:p>
    <w:p w14:paraId="6CFEAF08"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3: The behavior of WAB-gNB during RLF or Beam Failure must be discussed in the RAN2 WI phase.</w:t>
      </w:r>
    </w:p>
    <w:p w14:paraId="018DBBFF"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4: The decision on whether WAB should support NCR and IAB should be made by RAN2.</w:t>
      </w:r>
    </w:p>
    <w:p w14:paraId="476890F7" w14:textId="3571E34E" w:rsid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5: RAN2 should evaluate the necessity of including cell status and cell reservations, unified access control, and additional allowed or forbidden cell lists for WAB.</w:t>
      </w:r>
    </w:p>
    <w:p w14:paraId="76D756C0" w14:textId="079E0178" w:rsidR="006B0B12" w:rsidRPr="006B0B12" w:rsidRDefault="006B0B12" w:rsidP="009F597C">
      <w:pPr>
        <w:spacing w:line="360" w:lineRule="auto"/>
        <w:jc w:val="both"/>
        <w:rPr>
          <w:rFonts w:ascii="Arial" w:hAnsi="Arial" w:cs="Arial"/>
          <w:b/>
          <w:bCs/>
          <w:sz w:val="22"/>
          <w:szCs w:val="22"/>
          <w:lang w:eastAsia="zh-CN"/>
        </w:rPr>
      </w:pPr>
      <w:r>
        <w:rPr>
          <w:rFonts w:ascii="Arial" w:hAnsi="Arial" w:cs="Arial"/>
          <w:b/>
          <w:bCs/>
          <w:sz w:val="22"/>
          <w:szCs w:val="22"/>
          <w:lang w:eastAsia="zh-CN"/>
        </w:rPr>
        <w:t>Proposal</w:t>
      </w:r>
      <w:r>
        <w:rPr>
          <w:rFonts w:ascii="Arial" w:hAnsi="Arial" w:cs="Arial" w:hint="eastAsia"/>
          <w:b/>
          <w:bCs/>
          <w:sz w:val="22"/>
          <w:szCs w:val="22"/>
          <w:lang w:eastAsia="zh-CN"/>
        </w:rPr>
        <w:t xml:space="preserve"> 6: RAN3 agree to send a LS to RAN2 to start their work </w:t>
      </w:r>
      <w:r>
        <w:rPr>
          <w:rFonts w:ascii="Arial" w:hAnsi="Arial" w:cs="Arial"/>
          <w:b/>
          <w:bCs/>
          <w:sz w:val="22"/>
          <w:szCs w:val="22"/>
          <w:lang w:eastAsia="zh-CN"/>
        </w:rPr>
        <w:t>immediately</w:t>
      </w:r>
      <w:r>
        <w:rPr>
          <w:rFonts w:ascii="Arial" w:hAnsi="Arial" w:cs="Arial" w:hint="eastAsia"/>
          <w:b/>
          <w:bCs/>
          <w:sz w:val="22"/>
          <w:szCs w:val="22"/>
          <w:lang w:eastAsia="zh-CN"/>
        </w:rPr>
        <w:t xml:space="preserve">. </w:t>
      </w:r>
    </w:p>
    <w:p w14:paraId="715B043E" w14:textId="77777777" w:rsidR="00B770B3" w:rsidRDefault="00A356BC">
      <w:pPr>
        <w:pStyle w:val="1"/>
        <w:rPr>
          <w:lang w:val="en-US"/>
        </w:rPr>
      </w:pPr>
      <w:r>
        <w:rPr>
          <w:lang w:eastAsia="zh-CN"/>
        </w:rPr>
        <w:t>Reference</w:t>
      </w:r>
      <w:r>
        <w:rPr>
          <w:lang w:eastAsia="zh-CN"/>
        </w:rPr>
        <w:tab/>
      </w:r>
    </w:p>
    <w:p w14:paraId="48C812AD" w14:textId="77777777" w:rsidR="000B2C89" w:rsidRPr="000B2C89" w:rsidRDefault="000B2C89" w:rsidP="000B2C89">
      <w:pPr>
        <w:pStyle w:val="af9"/>
        <w:numPr>
          <w:ilvl w:val="0"/>
          <w:numId w:val="38"/>
        </w:numPr>
        <w:rPr>
          <w:rFonts w:ascii="Calibri" w:hAnsi="Calibri" w:cs="Calibri"/>
          <w:lang w:eastAsia="zh-CN"/>
        </w:rPr>
      </w:pPr>
      <w:r w:rsidRPr="000B2C89">
        <w:rPr>
          <w:rFonts w:ascii="Calibri" w:hAnsi="Calibri" w:cs="Calibri" w:hint="eastAsia"/>
          <w:lang w:eastAsia="zh-CN"/>
        </w:rPr>
        <w:t>RP-242395</w:t>
      </w:r>
      <w:r w:rsidRPr="000B2C89">
        <w:rPr>
          <w:rFonts w:ascii="Calibri" w:hAnsi="Calibri" w:cs="Calibri" w:hint="eastAsia"/>
          <w:lang w:eastAsia="zh-CN"/>
        </w:rPr>
        <w:t>，</w:t>
      </w:r>
      <w:r w:rsidRPr="000B2C89">
        <w:rPr>
          <w:rFonts w:ascii="Calibri" w:hAnsi="Calibri" w:cs="Calibri" w:hint="eastAsia"/>
          <w:lang w:eastAsia="zh-CN"/>
        </w:rPr>
        <w:t>New WID on additional topological enhancements for NR</w:t>
      </w:r>
      <w:r w:rsidRPr="000B2C89">
        <w:rPr>
          <w:rFonts w:ascii="Calibri" w:hAnsi="Calibri" w:cs="Calibri" w:hint="eastAsia"/>
          <w:lang w:eastAsia="zh-CN"/>
        </w:rPr>
        <w:t>，</w:t>
      </w:r>
      <w:r w:rsidRPr="000B2C89">
        <w:rPr>
          <w:rFonts w:ascii="Calibri" w:hAnsi="Calibri" w:cs="Calibri" w:hint="eastAsia"/>
          <w:lang w:eastAsia="zh-CN"/>
        </w:rPr>
        <w:t>NTT DOCOMO, INC., AT&amp;T</w:t>
      </w:r>
    </w:p>
    <w:p w14:paraId="277F45C8" w14:textId="11D56AA7" w:rsidR="00C0432E" w:rsidRPr="00ED2DF8" w:rsidRDefault="00BD5BE1" w:rsidP="000B2C89">
      <w:pPr>
        <w:pStyle w:val="af9"/>
        <w:numPr>
          <w:ilvl w:val="0"/>
          <w:numId w:val="38"/>
        </w:numPr>
        <w:jc w:val="both"/>
        <w:rPr>
          <w:rFonts w:ascii="Calibri" w:hAnsi="Calibri" w:cs="Calibri"/>
          <w:lang w:eastAsia="zh-CN"/>
        </w:rPr>
      </w:pPr>
      <w:r w:rsidRPr="00BD5BE1">
        <w:rPr>
          <w:rFonts w:ascii="Calibri" w:hAnsi="Calibri" w:cs="Calibri" w:hint="eastAsia"/>
          <w:lang w:eastAsia="zh-CN"/>
        </w:rPr>
        <w:t>S2-2409245</w:t>
      </w:r>
      <w:r w:rsidRPr="00BD5BE1">
        <w:rPr>
          <w:rFonts w:ascii="Calibri" w:hAnsi="Calibri" w:cs="Calibri" w:hint="eastAsia"/>
          <w:lang w:eastAsia="zh-CN"/>
        </w:rPr>
        <w:t>，</w:t>
      </w:r>
      <w:r w:rsidRPr="00BD5BE1">
        <w:rPr>
          <w:rFonts w:ascii="Calibri" w:hAnsi="Calibri" w:cs="Calibri" w:hint="eastAsia"/>
          <w:lang w:eastAsia="zh-CN"/>
        </w:rPr>
        <w:t>Mobility of UEs served by MWAB</w:t>
      </w:r>
      <w:r w:rsidR="00426B83">
        <w:rPr>
          <w:rFonts w:ascii="Calibri" w:hAnsi="Calibri" w:cs="Calibri" w:hint="eastAsia"/>
          <w:lang w:eastAsia="zh-CN"/>
        </w:rPr>
        <w:t>,</w:t>
      </w:r>
      <w:r w:rsidRPr="00BD5BE1">
        <w:rPr>
          <w:rFonts w:ascii="Calibri" w:hAnsi="Calibri" w:cs="Calibri" w:hint="eastAsia"/>
          <w:lang w:eastAsia="zh-CN"/>
        </w:rPr>
        <w:t>Huawei, HiSilicon, Nokia, Ericsson, ZTE</w:t>
      </w: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9F36D" w14:textId="77777777" w:rsidR="005C52EF" w:rsidRDefault="005C52EF" w:rsidP="00191734">
      <w:pPr>
        <w:spacing w:after="0"/>
      </w:pPr>
      <w:r>
        <w:separator/>
      </w:r>
    </w:p>
  </w:endnote>
  <w:endnote w:type="continuationSeparator" w:id="0">
    <w:p w14:paraId="5FDD965C" w14:textId="77777777" w:rsidR="005C52EF" w:rsidRDefault="005C52EF"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6062F" w14:textId="77777777" w:rsidR="005C52EF" w:rsidRDefault="005C52EF" w:rsidP="00191734">
      <w:pPr>
        <w:spacing w:after="0"/>
      </w:pPr>
      <w:r>
        <w:separator/>
      </w:r>
    </w:p>
  </w:footnote>
  <w:footnote w:type="continuationSeparator" w:id="0">
    <w:p w14:paraId="03B7E816" w14:textId="77777777" w:rsidR="005C52EF" w:rsidRDefault="005C52EF"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E64896"/>
    <w:multiLevelType w:val="hybridMultilevel"/>
    <w:tmpl w:val="B78CFB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AB3A9F"/>
    <w:multiLevelType w:val="hybridMultilevel"/>
    <w:tmpl w:val="441E7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E3856"/>
    <w:multiLevelType w:val="hybridMultilevel"/>
    <w:tmpl w:val="E45E7D66"/>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C7512E"/>
    <w:multiLevelType w:val="multilevel"/>
    <w:tmpl w:val="5E86A5DC"/>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723C53"/>
    <w:multiLevelType w:val="hybridMultilevel"/>
    <w:tmpl w:val="D684311C"/>
    <w:lvl w:ilvl="0" w:tplc="27C033D6">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BF70DA"/>
    <w:multiLevelType w:val="hybridMultilevel"/>
    <w:tmpl w:val="6E40EDA4"/>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5"/>
  </w:num>
  <w:num w:numId="2" w16cid:durableId="1940982865">
    <w:abstractNumId w:val="28"/>
  </w:num>
  <w:num w:numId="3" w16cid:durableId="589628860">
    <w:abstractNumId w:val="18"/>
  </w:num>
  <w:num w:numId="4" w16cid:durableId="1289581424">
    <w:abstractNumId w:val="24"/>
  </w:num>
  <w:num w:numId="5" w16cid:durableId="245191231">
    <w:abstractNumId w:val="5"/>
  </w:num>
  <w:num w:numId="6" w16cid:durableId="684136312">
    <w:abstractNumId w:val="17"/>
  </w:num>
  <w:num w:numId="7" w16cid:durableId="1530801252">
    <w:abstractNumId w:val="19"/>
  </w:num>
  <w:num w:numId="8" w16cid:durableId="603610468">
    <w:abstractNumId w:val="23"/>
  </w:num>
  <w:num w:numId="9" w16cid:durableId="552346572">
    <w:abstractNumId w:val="35"/>
  </w:num>
  <w:num w:numId="10" w16cid:durableId="822114342">
    <w:abstractNumId w:val="26"/>
  </w:num>
  <w:num w:numId="11" w16cid:durableId="736051227">
    <w:abstractNumId w:val="11"/>
  </w:num>
  <w:num w:numId="12" w16cid:durableId="755053300">
    <w:abstractNumId w:val="21"/>
  </w:num>
  <w:num w:numId="13" w16cid:durableId="1400176968">
    <w:abstractNumId w:val="14"/>
  </w:num>
  <w:num w:numId="14" w16cid:durableId="1664775733">
    <w:abstractNumId w:val="29"/>
  </w:num>
  <w:num w:numId="15" w16cid:durableId="1261913881">
    <w:abstractNumId w:val="9"/>
  </w:num>
  <w:num w:numId="16" w16cid:durableId="961040155">
    <w:abstractNumId w:val="25"/>
  </w:num>
  <w:num w:numId="17" w16cid:durableId="1904874892">
    <w:abstractNumId w:val="25"/>
  </w:num>
  <w:num w:numId="18" w16cid:durableId="585042887">
    <w:abstractNumId w:val="22"/>
  </w:num>
  <w:num w:numId="19" w16cid:durableId="456337389">
    <w:abstractNumId w:val="12"/>
  </w:num>
  <w:num w:numId="20" w16cid:durableId="192501314">
    <w:abstractNumId w:val="16"/>
  </w:num>
  <w:num w:numId="21" w16cid:durableId="1695035390">
    <w:abstractNumId w:val="27"/>
  </w:num>
  <w:num w:numId="22" w16cid:durableId="1757440833">
    <w:abstractNumId w:val="3"/>
  </w:num>
  <w:num w:numId="23" w16cid:durableId="56976440">
    <w:abstractNumId w:val="32"/>
  </w:num>
  <w:num w:numId="24" w16cid:durableId="970015827">
    <w:abstractNumId w:val="30"/>
  </w:num>
  <w:num w:numId="25" w16cid:durableId="1253780229">
    <w:abstractNumId w:val="25"/>
  </w:num>
  <w:num w:numId="26" w16cid:durableId="1412459616">
    <w:abstractNumId w:val="25"/>
  </w:num>
  <w:num w:numId="27" w16cid:durableId="121580757">
    <w:abstractNumId w:val="4"/>
  </w:num>
  <w:num w:numId="28" w16cid:durableId="2044554954">
    <w:abstractNumId w:val="25"/>
  </w:num>
  <w:num w:numId="29" w16cid:durableId="836117710">
    <w:abstractNumId w:val="31"/>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0"/>
  </w:num>
  <w:num w:numId="32" w16cid:durableId="667637929">
    <w:abstractNumId w:val="2"/>
  </w:num>
  <w:num w:numId="33" w16cid:durableId="695228529">
    <w:abstractNumId w:val="8"/>
  </w:num>
  <w:num w:numId="34" w16cid:durableId="1213350091">
    <w:abstractNumId w:val="25"/>
  </w:num>
  <w:num w:numId="35" w16cid:durableId="572590848">
    <w:abstractNumId w:val="15"/>
  </w:num>
  <w:num w:numId="36" w16cid:durableId="800073293">
    <w:abstractNumId w:val="1"/>
  </w:num>
  <w:num w:numId="37" w16cid:durableId="967591045">
    <w:abstractNumId w:val="25"/>
  </w:num>
  <w:num w:numId="38" w16cid:durableId="811017515">
    <w:abstractNumId w:val="10"/>
  </w:num>
  <w:num w:numId="39" w16cid:durableId="1526476760">
    <w:abstractNumId w:val="36"/>
  </w:num>
  <w:num w:numId="40" w16cid:durableId="1758937211">
    <w:abstractNumId w:val="37"/>
  </w:num>
  <w:num w:numId="41" w16cid:durableId="930314414">
    <w:abstractNumId w:val="33"/>
  </w:num>
  <w:num w:numId="42" w16cid:durableId="18891900">
    <w:abstractNumId w:val="25"/>
  </w:num>
  <w:num w:numId="43" w16cid:durableId="1567835477">
    <w:abstractNumId w:val="25"/>
  </w:num>
  <w:num w:numId="44" w16cid:durableId="1271863781">
    <w:abstractNumId w:val="25"/>
  </w:num>
  <w:num w:numId="45" w16cid:durableId="589512806">
    <w:abstractNumId w:val="25"/>
  </w:num>
  <w:num w:numId="46" w16cid:durableId="1824084835">
    <w:abstractNumId w:val="25"/>
  </w:num>
  <w:num w:numId="47" w16cid:durableId="650912410">
    <w:abstractNumId w:val="6"/>
  </w:num>
  <w:num w:numId="48" w16cid:durableId="755446456">
    <w:abstractNumId w:val="25"/>
  </w:num>
  <w:num w:numId="49" w16cid:durableId="2024624676">
    <w:abstractNumId w:val="25"/>
  </w:num>
  <w:num w:numId="50" w16cid:durableId="914436897">
    <w:abstractNumId w:val="25"/>
  </w:num>
  <w:num w:numId="51" w16cid:durableId="1163207005">
    <w:abstractNumId w:val="25"/>
  </w:num>
  <w:num w:numId="52" w16cid:durableId="1710253591">
    <w:abstractNumId w:val="25"/>
  </w:num>
  <w:num w:numId="53" w16cid:durableId="444814579">
    <w:abstractNumId w:val="7"/>
  </w:num>
  <w:num w:numId="54" w16cid:durableId="26564414">
    <w:abstractNumId w:val="13"/>
  </w:num>
  <w:num w:numId="55" w16cid:durableId="1743332871">
    <w:abstractNumId w:val="25"/>
  </w:num>
  <w:num w:numId="56" w16cid:durableId="333799620">
    <w:abstractNumId w:val="25"/>
  </w:num>
  <w:num w:numId="57" w16cid:durableId="1462923540">
    <w:abstractNumId w:val="25"/>
  </w:num>
  <w:num w:numId="58" w16cid:durableId="387267794">
    <w:abstractNumId w:val="34"/>
  </w:num>
  <w:num w:numId="59" w16cid:durableId="1914316908">
    <w:abstractNumId w:val="25"/>
  </w:num>
  <w:num w:numId="60" w16cid:durableId="1185903750">
    <w:abstractNumId w:val="25"/>
  </w:num>
  <w:num w:numId="61" w16cid:durableId="1449163231">
    <w:abstractNumId w:val="25"/>
  </w:num>
  <w:num w:numId="62" w16cid:durableId="2027555770">
    <w:abstractNumId w:val="25"/>
  </w:num>
  <w:num w:numId="63" w16cid:durableId="195987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B13"/>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801"/>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0926"/>
    <w:rsid w:val="00081753"/>
    <w:rsid w:val="00081CE6"/>
    <w:rsid w:val="000820AB"/>
    <w:rsid w:val="00082270"/>
    <w:rsid w:val="000823C8"/>
    <w:rsid w:val="00082521"/>
    <w:rsid w:val="00082AC1"/>
    <w:rsid w:val="00082E99"/>
    <w:rsid w:val="00083584"/>
    <w:rsid w:val="00083897"/>
    <w:rsid w:val="000838B8"/>
    <w:rsid w:val="00083B10"/>
    <w:rsid w:val="000846DA"/>
    <w:rsid w:val="0008470A"/>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68A3"/>
    <w:rsid w:val="000A700C"/>
    <w:rsid w:val="000A7910"/>
    <w:rsid w:val="000A7B3F"/>
    <w:rsid w:val="000A7B5E"/>
    <w:rsid w:val="000A7B9B"/>
    <w:rsid w:val="000A7CC2"/>
    <w:rsid w:val="000A7D98"/>
    <w:rsid w:val="000B0645"/>
    <w:rsid w:val="000B06A3"/>
    <w:rsid w:val="000B13AB"/>
    <w:rsid w:val="000B1C80"/>
    <w:rsid w:val="000B1CCB"/>
    <w:rsid w:val="000B26C0"/>
    <w:rsid w:val="000B2C0A"/>
    <w:rsid w:val="000B2C89"/>
    <w:rsid w:val="000B2D80"/>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5250"/>
    <w:rsid w:val="000C56D1"/>
    <w:rsid w:val="000C58FC"/>
    <w:rsid w:val="000C5AB1"/>
    <w:rsid w:val="000C5BBE"/>
    <w:rsid w:val="000C6343"/>
    <w:rsid w:val="000C6FFA"/>
    <w:rsid w:val="000D0143"/>
    <w:rsid w:val="000D0706"/>
    <w:rsid w:val="000D093B"/>
    <w:rsid w:val="000D0B63"/>
    <w:rsid w:val="000D0C3D"/>
    <w:rsid w:val="000D0FE8"/>
    <w:rsid w:val="000D2571"/>
    <w:rsid w:val="000D25F8"/>
    <w:rsid w:val="000D26D1"/>
    <w:rsid w:val="000D28E7"/>
    <w:rsid w:val="000D2C7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637"/>
    <w:rsid w:val="001178CF"/>
    <w:rsid w:val="00117EF8"/>
    <w:rsid w:val="00120199"/>
    <w:rsid w:val="00120B5B"/>
    <w:rsid w:val="00120E29"/>
    <w:rsid w:val="00121B81"/>
    <w:rsid w:val="00121C1B"/>
    <w:rsid w:val="00122209"/>
    <w:rsid w:val="001222D4"/>
    <w:rsid w:val="00122616"/>
    <w:rsid w:val="00123FF4"/>
    <w:rsid w:val="00124B5A"/>
    <w:rsid w:val="001250EE"/>
    <w:rsid w:val="00125DCD"/>
    <w:rsid w:val="00126915"/>
    <w:rsid w:val="00126BF7"/>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0F5"/>
    <w:rsid w:val="001346E6"/>
    <w:rsid w:val="001351DE"/>
    <w:rsid w:val="00135499"/>
    <w:rsid w:val="00135C76"/>
    <w:rsid w:val="001367AD"/>
    <w:rsid w:val="00136AC1"/>
    <w:rsid w:val="00136B1D"/>
    <w:rsid w:val="00136C14"/>
    <w:rsid w:val="00137273"/>
    <w:rsid w:val="001372F3"/>
    <w:rsid w:val="001374E2"/>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497A"/>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2DF1"/>
    <w:rsid w:val="00194427"/>
    <w:rsid w:val="0019480C"/>
    <w:rsid w:val="00194905"/>
    <w:rsid w:val="00194D2E"/>
    <w:rsid w:val="00195817"/>
    <w:rsid w:val="001959ED"/>
    <w:rsid w:val="00196C3F"/>
    <w:rsid w:val="0019752A"/>
    <w:rsid w:val="001A00D1"/>
    <w:rsid w:val="001A02E4"/>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43F"/>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6CA"/>
    <w:rsid w:val="001C1D10"/>
    <w:rsid w:val="001C1F44"/>
    <w:rsid w:val="001C3410"/>
    <w:rsid w:val="001C34EE"/>
    <w:rsid w:val="001C381F"/>
    <w:rsid w:val="001C3A17"/>
    <w:rsid w:val="001C4426"/>
    <w:rsid w:val="001C4D86"/>
    <w:rsid w:val="001C4DF0"/>
    <w:rsid w:val="001C4F5E"/>
    <w:rsid w:val="001C5309"/>
    <w:rsid w:val="001C5A7E"/>
    <w:rsid w:val="001C5BD8"/>
    <w:rsid w:val="001C5E6B"/>
    <w:rsid w:val="001C6040"/>
    <w:rsid w:val="001C62E5"/>
    <w:rsid w:val="001C668E"/>
    <w:rsid w:val="001C6B38"/>
    <w:rsid w:val="001C6B66"/>
    <w:rsid w:val="001C718C"/>
    <w:rsid w:val="001C79AC"/>
    <w:rsid w:val="001D0FC6"/>
    <w:rsid w:val="001D13CD"/>
    <w:rsid w:val="001D16C4"/>
    <w:rsid w:val="001D173C"/>
    <w:rsid w:val="001D17FA"/>
    <w:rsid w:val="001D1887"/>
    <w:rsid w:val="001D1D6C"/>
    <w:rsid w:val="001D1E88"/>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2DC0"/>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622"/>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944"/>
    <w:rsid w:val="00233A74"/>
    <w:rsid w:val="00233EF7"/>
    <w:rsid w:val="00234D79"/>
    <w:rsid w:val="00234D81"/>
    <w:rsid w:val="002351D0"/>
    <w:rsid w:val="002352B8"/>
    <w:rsid w:val="0023647A"/>
    <w:rsid w:val="0023651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4F94"/>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67AAA"/>
    <w:rsid w:val="002701EE"/>
    <w:rsid w:val="00270742"/>
    <w:rsid w:val="002707AE"/>
    <w:rsid w:val="0027157E"/>
    <w:rsid w:val="0027158E"/>
    <w:rsid w:val="00272D77"/>
    <w:rsid w:val="00272EC8"/>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6B3"/>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75"/>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E13"/>
    <w:rsid w:val="002A6E64"/>
    <w:rsid w:val="002A7197"/>
    <w:rsid w:val="002A7F84"/>
    <w:rsid w:val="002B04B8"/>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5EE"/>
    <w:rsid w:val="002D0BA1"/>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012"/>
    <w:rsid w:val="00301E86"/>
    <w:rsid w:val="00301FCF"/>
    <w:rsid w:val="00303071"/>
    <w:rsid w:val="0030317C"/>
    <w:rsid w:val="00303ECA"/>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435"/>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94"/>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528"/>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08EE"/>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6198"/>
    <w:rsid w:val="003D6489"/>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39C8"/>
    <w:rsid w:val="003F41D0"/>
    <w:rsid w:val="003F432E"/>
    <w:rsid w:val="003F458D"/>
    <w:rsid w:val="003F4968"/>
    <w:rsid w:val="003F49CF"/>
    <w:rsid w:val="003F4B95"/>
    <w:rsid w:val="003F4F69"/>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B1E"/>
    <w:rsid w:val="00405C57"/>
    <w:rsid w:val="0040660C"/>
    <w:rsid w:val="00406DEA"/>
    <w:rsid w:val="004077E4"/>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F4"/>
    <w:rsid w:val="00440B58"/>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47B"/>
    <w:rsid w:val="00452FDA"/>
    <w:rsid w:val="0045325E"/>
    <w:rsid w:val="004532E7"/>
    <w:rsid w:val="00453A42"/>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38B"/>
    <w:rsid w:val="00475423"/>
    <w:rsid w:val="00475472"/>
    <w:rsid w:val="00475550"/>
    <w:rsid w:val="0047592E"/>
    <w:rsid w:val="00475A7D"/>
    <w:rsid w:val="00476251"/>
    <w:rsid w:val="00476E57"/>
    <w:rsid w:val="00477C81"/>
    <w:rsid w:val="0048002A"/>
    <w:rsid w:val="00480076"/>
    <w:rsid w:val="004817E4"/>
    <w:rsid w:val="00481EB3"/>
    <w:rsid w:val="00481F35"/>
    <w:rsid w:val="00482A83"/>
    <w:rsid w:val="00482AE0"/>
    <w:rsid w:val="00483598"/>
    <w:rsid w:val="0048389D"/>
    <w:rsid w:val="00483B16"/>
    <w:rsid w:val="00484529"/>
    <w:rsid w:val="00484662"/>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953"/>
    <w:rsid w:val="00494305"/>
    <w:rsid w:val="0049483F"/>
    <w:rsid w:val="00494AFE"/>
    <w:rsid w:val="00495613"/>
    <w:rsid w:val="00495C23"/>
    <w:rsid w:val="004960F1"/>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485"/>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94F"/>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469"/>
    <w:rsid w:val="005215A2"/>
    <w:rsid w:val="005215F4"/>
    <w:rsid w:val="0052195F"/>
    <w:rsid w:val="00521D88"/>
    <w:rsid w:val="00522458"/>
    <w:rsid w:val="005228D4"/>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AAD"/>
    <w:rsid w:val="00532496"/>
    <w:rsid w:val="0053262B"/>
    <w:rsid w:val="0053282A"/>
    <w:rsid w:val="005333B7"/>
    <w:rsid w:val="005346BC"/>
    <w:rsid w:val="0053565A"/>
    <w:rsid w:val="00535C62"/>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57FC9"/>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2EF"/>
    <w:rsid w:val="005C54EA"/>
    <w:rsid w:val="005C54FF"/>
    <w:rsid w:val="005C6101"/>
    <w:rsid w:val="005C6AB1"/>
    <w:rsid w:val="005C6B38"/>
    <w:rsid w:val="005C7E38"/>
    <w:rsid w:val="005D09A2"/>
    <w:rsid w:val="005D0AC6"/>
    <w:rsid w:val="005D1053"/>
    <w:rsid w:val="005D146F"/>
    <w:rsid w:val="005D154B"/>
    <w:rsid w:val="005D1E63"/>
    <w:rsid w:val="005D2205"/>
    <w:rsid w:val="005D2410"/>
    <w:rsid w:val="005D2C25"/>
    <w:rsid w:val="005D35D5"/>
    <w:rsid w:val="005D3905"/>
    <w:rsid w:val="005D3CCB"/>
    <w:rsid w:val="005D3D5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13B9"/>
    <w:rsid w:val="006318D6"/>
    <w:rsid w:val="00631B36"/>
    <w:rsid w:val="00632502"/>
    <w:rsid w:val="00633451"/>
    <w:rsid w:val="00633A92"/>
    <w:rsid w:val="00634A2A"/>
    <w:rsid w:val="00634ABD"/>
    <w:rsid w:val="006375BF"/>
    <w:rsid w:val="00641154"/>
    <w:rsid w:val="006411A0"/>
    <w:rsid w:val="00641E3A"/>
    <w:rsid w:val="0064238F"/>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49C"/>
    <w:rsid w:val="00664969"/>
    <w:rsid w:val="006654D1"/>
    <w:rsid w:val="00666443"/>
    <w:rsid w:val="00666DEB"/>
    <w:rsid w:val="00667005"/>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589"/>
    <w:rsid w:val="00675A99"/>
    <w:rsid w:val="00675D9C"/>
    <w:rsid w:val="00676381"/>
    <w:rsid w:val="006765B5"/>
    <w:rsid w:val="00677626"/>
    <w:rsid w:val="0067783D"/>
    <w:rsid w:val="0068039A"/>
    <w:rsid w:val="00680799"/>
    <w:rsid w:val="006811FB"/>
    <w:rsid w:val="006813AE"/>
    <w:rsid w:val="00681E77"/>
    <w:rsid w:val="006820F1"/>
    <w:rsid w:val="00682B7F"/>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3819"/>
    <w:rsid w:val="006938C5"/>
    <w:rsid w:val="00694320"/>
    <w:rsid w:val="006944FE"/>
    <w:rsid w:val="006946CD"/>
    <w:rsid w:val="00695A09"/>
    <w:rsid w:val="0069765E"/>
    <w:rsid w:val="00697ECE"/>
    <w:rsid w:val="00697F3C"/>
    <w:rsid w:val="006A26A7"/>
    <w:rsid w:val="006A30D2"/>
    <w:rsid w:val="006A31C8"/>
    <w:rsid w:val="006A32E2"/>
    <w:rsid w:val="006A3E26"/>
    <w:rsid w:val="006A464E"/>
    <w:rsid w:val="006A4B32"/>
    <w:rsid w:val="006A51FC"/>
    <w:rsid w:val="006A58AF"/>
    <w:rsid w:val="006A5F4F"/>
    <w:rsid w:val="006A63F4"/>
    <w:rsid w:val="006A7330"/>
    <w:rsid w:val="006A7807"/>
    <w:rsid w:val="006A7B5F"/>
    <w:rsid w:val="006B0305"/>
    <w:rsid w:val="006B05A1"/>
    <w:rsid w:val="006B09F9"/>
    <w:rsid w:val="006B0B12"/>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139"/>
    <w:rsid w:val="006D02EF"/>
    <w:rsid w:val="006D08E4"/>
    <w:rsid w:val="006D08EC"/>
    <w:rsid w:val="006D0C1F"/>
    <w:rsid w:val="006D13D5"/>
    <w:rsid w:val="006D1A54"/>
    <w:rsid w:val="006D1EE2"/>
    <w:rsid w:val="006D3700"/>
    <w:rsid w:val="006D3A2A"/>
    <w:rsid w:val="006D3AD4"/>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6EC"/>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9DF"/>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73A"/>
    <w:rsid w:val="007B2818"/>
    <w:rsid w:val="007B32D4"/>
    <w:rsid w:val="007B37CE"/>
    <w:rsid w:val="007B3EB2"/>
    <w:rsid w:val="007B5330"/>
    <w:rsid w:val="007B594C"/>
    <w:rsid w:val="007B73AB"/>
    <w:rsid w:val="007B78C3"/>
    <w:rsid w:val="007B7BF8"/>
    <w:rsid w:val="007C0072"/>
    <w:rsid w:val="007C0133"/>
    <w:rsid w:val="007C0D58"/>
    <w:rsid w:val="007C0E14"/>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3E50"/>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A4A"/>
    <w:rsid w:val="007E3F23"/>
    <w:rsid w:val="007E4ABC"/>
    <w:rsid w:val="007E4B88"/>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B25"/>
    <w:rsid w:val="00807EF3"/>
    <w:rsid w:val="0081020D"/>
    <w:rsid w:val="008102E4"/>
    <w:rsid w:val="008105F2"/>
    <w:rsid w:val="008110D1"/>
    <w:rsid w:val="008116D6"/>
    <w:rsid w:val="00811ED4"/>
    <w:rsid w:val="008122B3"/>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37A44"/>
    <w:rsid w:val="00840233"/>
    <w:rsid w:val="0084030C"/>
    <w:rsid w:val="00840A65"/>
    <w:rsid w:val="0084101C"/>
    <w:rsid w:val="00841B52"/>
    <w:rsid w:val="00841F81"/>
    <w:rsid w:val="00842B6F"/>
    <w:rsid w:val="00842E2B"/>
    <w:rsid w:val="00842E75"/>
    <w:rsid w:val="00842FFD"/>
    <w:rsid w:val="0084386D"/>
    <w:rsid w:val="00843873"/>
    <w:rsid w:val="00843DB3"/>
    <w:rsid w:val="00844188"/>
    <w:rsid w:val="008441DA"/>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6FA5"/>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54E"/>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4D0"/>
    <w:rsid w:val="0089458C"/>
    <w:rsid w:val="00894EF3"/>
    <w:rsid w:val="00895C6D"/>
    <w:rsid w:val="00895F66"/>
    <w:rsid w:val="00896457"/>
    <w:rsid w:val="0089674B"/>
    <w:rsid w:val="008978B3"/>
    <w:rsid w:val="008978C8"/>
    <w:rsid w:val="008A06BE"/>
    <w:rsid w:val="008A1CAF"/>
    <w:rsid w:val="008A1D9D"/>
    <w:rsid w:val="008A1FF2"/>
    <w:rsid w:val="008A26D4"/>
    <w:rsid w:val="008A2837"/>
    <w:rsid w:val="008A287E"/>
    <w:rsid w:val="008A3AE7"/>
    <w:rsid w:val="008A3EE6"/>
    <w:rsid w:val="008A46FE"/>
    <w:rsid w:val="008A4E34"/>
    <w:rsid w:val="008A5E05"/>
    <w:rsid w:val="008A5F72"/>
    <w:rsid w:val="008A62CB"/>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5E93"/>
    <w:rsid w:val="008B6541"/>
    <w:rsid w:val="008B6A6E"/>
    <w:rsid w:val="008B6EF6"/>
    <w:rsid w:val="008B7FD6"/>
    <w:rsid w:val="008C01C4"/>
    <w:rsid w:val="008C0869"/>
    <w:rsid w:val="008C24C9"/>
    <w:rsid w:val="008C2F93"/>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0D04"/>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35ED"/>
    <w:rsid w:val="0091431D"/>
    <w:rsid w:val="00914405"/>
    <w:rsid w:val="009149D3"/>
    <w:rsid w:val="00914B1C"/>
    <w:rsid w:val="009154BE"/>
    <w:rsid w:val="009158A2"/>
    <w:rsid w:val="009167A5"/>
    <w:rsid w:val="00916CDA"/>
    <w:rsid w:val="009177B9"/>
    <w:rsid w:val="00917B1B"/>
    <w:rsid w:val="00917C09"/>
    <w:rsid w:val="00917DF9"/>
    <w:rsid w:val="009204E9"/>
    <w:rsid w:val="00920590"/>
    <w:rsid w:val="00921C14"/>
    <w:rsid w:val="00921DBF"/>
    <w:rsid w:val="00922357"/>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B00"/>
    <w:rsid w:val="009321F9"/>
    <w:rsid w:val="009324D9"/>
    <w:rsid w:val="00932DEB"/>
    <w:rsid w:val="009341D7"/>
    <w:rsid w:val="00935577"/>
    <w:rsid w:val="009359E3"/>
    <w:rsid w:val="00935CB9"/>
    <w:rsid w:val="00936769"/>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37D0"/>
    <w:rsid w:val="00974253"/>
    <w:rsid w:val="009742A3"/>
    <w:rsid w:val="009743F1"/>
    <w:rsid w:val="009757A9"/>
    <w:rsid w:val="009768CC"/>
    <w:rsid w:val="0097790F"/>
    <w:rsid w:val="0097796B"/>
    <w:rsid w:val="00977D57"/>
    <w:rsid w:val="00977DDA"/>
    <w:rsid w:val="00982076"/>
    <w:rsid w:val="00982955"/>
    <w:rsid w:val="009835A8"/>
    <w:rsid w:val="00983773"/>
    <w:rsid w:val="00983F60"/>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8C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781"/>
    <w:rsid w:val="009B2AC6"/>
    <w:rsid w:val="009B2F4E"/>
    <w:rsid w:val="009B34AF"/>
    <w:rsid w:val="009B41B1"/>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0FC"/>
    <w:rsid w:val="009C417C"/>
    <w:rsid w:val="009C4AB5"/>
    <w:rsid w:val="009C4D8A"/>
    <w:rsid w:val="009C537B"/>
    <w:rsid w:val="009C5AA8"/>
    <w:rsid w:val="009C622C"/>
    <w:rsid w:val="009C632A"/>
    <w:rsid w:val="009C6B09"/>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597C"/>
    <w:rsid w:val="009F65D1"/>
    <w:rsid w:val="009F6E7E"/>
    <w:rsid w:val="00A00001"/>
    <w:rsid w:val="00A01538"/>
    <w:rsid w:val="00A01641"/>
    <w:rsid w:val="00A01668"/>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4FE6"/>
    <w:rsid w:val="00A4534E"/>
    <w:rsid w:val="00A4565E"/>
    <w:rsid w:val="00A45E07"/>
    <w:rsid w:val="00A47328"/>
    <w:rsid w:val="00A473E2"/>
    <w:rsid w:val="00A4795F"/>
    <w:rsid w:val="00A479F6"/>
    <w:rsid w:val="00A47D97"/>
    <w:rsid w:val="00A50639"/>
    <w:rsid w:val="00A50925"/>
    <w:rsid w:val="00A50F1B"/>
    <w:rsid w:val="00A51127"/>
    <w:rsid w:val="00A52304"/>
    <w:rsid w:val="00A523DC"/>
    <w:rsid w:val="00A528CC"/>
    <w:rsid w:val="00A52A31"/>
    <w:rsid w:val="00A53810"/>
    <w:rsid w:val="00A53954"/>
    <w:rsid w:val="00A53CD2"/>
    <w:rsid w:val="00A53EB7"/>
    <w:rsid w:val="00A54B10"/>
    <w:rsid w:val="00A54D5F"/>
    <w:rsid w:val="00A550B8"/>
    <w:rsid w:val="00A558FB"/>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D97"/>
    <w:rsid w:val="00A753C4"/>
    <w:rsid w:val="00A755C3"/>
    <w:rsid w:val="00A756DD"/>
    <w:rsid w:val="00A75C16"/>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EDF"/>
    <w:rsid w:val="00AC085F"/>
    <w:rsid w:val="00AC1404"/>
    <w:rsid w:val="00AC170F"/>
    <w:rsid w:val="00AC180E"/>
    <w:rsid w:val="00AC1B27"/>
    <w:rsid w:val="00AC1B93"/>
    <w:rsid w:val="00AC1C96"/>
    <w:rsid w:val="00AC209F"/>
    <w:rsid w:val="00AC20DA"/>
    <w:rsid w:val="00AC21C4"/>
    <w:rsid w:val="00AC2F19"/>
    <w:rsid w:val="00AC566D"/>
    <w:rsid w:val="00AC5723"/>
    <w:rsid w:val="00AC5844"/>
    <w:rsid w:val="00AC593B"/>
    <w:rsid w:val="00AC69F4"/>
    <w:rsid w:val="00AC72B6"/>
    <w:rsid w:val="00AC7B63"/>
    <w:rsid w:val="00AC7CF4"/>
    <w:rsid w:val="00AD099C"/>
    <w:rsid w:val="00AD0EC6"/>
    <w:rsid w:val="00AD1573"/>
    <w:rsid w:val="00AD1D94"/>
    <w:rsid w:val="00AD2B95"/>
    <w:rsid w:val="00AD2C0D"/>
    <w:rsid w:val="00AD36F8"/>
    <w:rsid w:val="00AD3724"/>
    <w:rsid w:val="00AD3DA9"/>
    <w:rsid w:val="00AD4393"/>
    <w:rsid w:val="00AD4523"/>
    <w:rsid w:val="00AD4A4D"/>
    <w:rsid w:val="00AD4B9A"/>
    <w:rsid w:val="00AD4BD8"/>
    <w:rsid w:val="00AD6A01"/>
    <w:rsid w:val="00AD70FD"/>
    <w:rsid w:val="00AD7675"/>
    <w:rsid w:val="00AD7776"/>
    <w:rsid w:val="00AD7DC3"/>
    <w:rsid w:val="00AE0328"/>
    <w:rsid w:val="00AE13C9"/>
    <w:rsid w:val="00AE14FE"/>
    <w:rsid w:val="00AE1508"/>
    <w:rsid w:val="00AE1AED"/>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4EF3"/>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0D6"/>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11D"/>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AB3"/>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1C46"/>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80318"/>
    <w:rsid w:val="00B8052F"/>
    <w:rsid w:val="00B814B4"/>
    <w:rsid w:val="00B81C35"/>
    <w:rsid w:val="00B81EE0"/>
    <w:rsid w:val="00B81FD0"/>
    <w:rsid w:val="00B82262"/>
    <w:rsid w:val="00B8255F"/>
    <w:rsid w:val="00B82D07"/>
    <w:rsid w:val="00B82E6A"/>
    <w:rsid w:val="00B831CA"/>
    <w:rsid w:val="00B838E0"/>
    <w:rsid w:val="00B845F8"/>
    <w:rsid w:val="00B8496E"/>
    <w:rsid w:val="00B84E9C"/>
    <w:rsid w:val="00B85127"/>
    <w:rsid w:val="00B859B9"/>
    <w:rsid w:val="00B85CDC"/>
    <w:rsid w:val="00B860AD"/>
    <w:rsid w:val="00B86695"/>
    <w:rsid w:val="00B8696D"/>
    <w:rsid w:val="00B86CDC"/>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584"/>
    <w:rsid w:val="00BA4FD3"/>
    <w:rsid w:val="00BA5477"/>
    <w:rsid w:val="00BA610F"/>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3911"/>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BE1"/>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19F"/>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C8A"/>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13"/>
    <w:rsid w:val="00C2084E"/>
    <w:rsid w:val="00C20AC8"/>
    <w:rsid w:val="00C219FD"/>
    <w:rsid w:val="00C21A29"/>
    <w:rsid w:val="00C221FE"/>
    <w:rsid w:val="00C2274D"/>
    <w:rsid w:val="00C22F59"/>
    <w:rsid w:val="00C230B6"/>
    <w:rsid w:val="00C23387"/>
    <w:rsid w:val="00C2339D"/>
    <w:rsid w:val="00C23BB4"/>
    <w:rsid w:val="00C23D28"/>
    <w:rsid w:val="00C2415D"/>
    <w:rsid w:val="00C241C9"/>
    <w:rsid w:val="00C244F3"/>
    <w:rsid w:val="00C24E40"/>
    <w:rsid w:val="00C24F3D"/>
    <w:rsid w:val="00C25B52"/>
    <w:rsid w:val="00C25C9A"/>
    <w:rsid w:val="00C26279"/>
    <w:rsid w:val="00C2629D"/>
    <w:rsid w:val="00C2644A"/>
    <w:rsid w:val="00C265B1"/>
    <w:rsid w:val="00C26AA0"/>
    <w:rsid w:val="00C26DC2"/>
    <w:rsid w:val="00C26DF3"/>
    <w:rsid w:val="00C27C1B"/>
    <w:rsid w:val="00C30BEB"/>
    <w:rsid w:val="00C31634"/>
    <w:rsid w:val="00C32948"/>
    <w:rsid w:val="00C32BA1"/>
    <w:rsid w:val="00C32BE0"/>
    <w:rsid w:val="00C33CE9"/>
    <w:rsid w:val="00C3415A"/>
    <w:rsid w:val="00C34706"/>
    <w:rsid w:val="00C34996"/>
    <w:rsid w:val="00C34B32"/>
    <w:rsid w:val="00C34E8A"/>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179"/>
    <w:rsid w:val="00C4491A"/>
    <w:rsid w:val="00C44D07"/>
    <w:rsid w:val="00C45515"/>
    <w:rsid w:val="00C462B1"/>
    <w:rsid w:val="00C462C3"/>
    <w:rsid w:val="00C462D2"/>
    <w:rsid w:val="00C4641F"/>
    <w:rsid w:val="00C46669"/>
    <w:rsid w:val="00C47F6D"/>
    <w:rsid w:val="00C5009F"/>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EB6"/>
    <w:rsid w:val="00C57FC8"/>
    <w:rsid w:val="00C60121"/>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857"/>
    <w:rsid w:val="00C87CA4"/>
    <w:rsid w:val="00C90411"/>
    <w:rsid w:val="00C90426"/>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9A"/>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3D1"/>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A96"/>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0E1E"/>
    <w:rsid w:val="00D4170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3708"/>
    <w:rsid w:val="00D54694"/>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87C9E"/>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19DA"/>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277"/>
    <w:rsid w:val="00DD07DF"/>
    <w:rsid w:val="00DD0840"/>
    <w:rsid w:val="00DD0C12"/>
    <w:rsid w:val="00DD0EBB"/>
    <w:rsid w:val="00DD11FD"/>
    <w:rsid w:val="00DD1256"/>
    <w:rsid w:val="00DD1B2E"/>
    <w:rsid w:val="00DD2380"/>
    <w:rsid w:val="00DD25DE"/>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5EF"/>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6E87"/>
    <w:rsid w:val="00E2767E"/>
    <w:rsid w:val="00E279FD"/>
    <w:rsid w:val="00E27F0E"/>
    <w:rsid w:val="00E30366"/>
    <w:rsid w:val="00E30582"/>
    <w:rsid w:val="00E30BDF"/>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D35"/>
    <w:rsid w:val="00E421C3"/>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1D1"/>
    <w:rsid w:val="00E47425"/>
    <w:rsid w:val="00E477FF"/>
    <w:rsid w:val="00E47D08"/>
    <w:rsid w:val="00E507BD"/>
    <w:rsid w:val="00E50CAD"/>
    <w:rsid w:val="00E51299"/>
    <w:rsid w:val="00E51A22"/>
    <w:rsid w:val="00E51AEF"/>
    <w:rsid w:val="00E51F81"/>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37A"/>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708"/>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DA"/>
    <w:rsid w:val="00EA7A10"/>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4246"/>
    <w:rsid w:val="00EE4BBA"/>
    <w:rsid w:val="00EE4F69"/>
    <w:rsid w:val="00EE5AB4"/>
    <w:rsid w:val="00EE6121"/>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BB4"/>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0B9"/>
    <w:rsid w:val="00F36BAF"/>
    <w:rsid w:val="00F377F2"/>
    <w:rsid w:val="00F37C46"/>
    <w:rsid w:val="00F40B8A"/>
    <w:rsid w:val="00F40ED2"/>
    <w:rsid w:val="00F40EDB"/>
    <w:rsid w:val="00F40FB5"/>
    <w:rsid w:val="00F4104C"/>
    <w:rsid w:val="00F41367"/>
    <w:rsid w:val="00F41592"/>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17FC"/>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50F"/>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82"/>
    <w:rsid w:val="00FA47E0"/>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9B5"/>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autoRedefine/>
    <w:qFormat/>
    <w:rsid w:val="00931B00"/>
    <w:pPr>
      <w:numPr>
        <w:ilvl w:val="2"/>
      </w:numPr>
      <w:spacing w:before="120"/>
      <w:ind w:left="0" w:firstLine="0"/>
      <w:outlineLvl w:val="2"/>
    </w:pPr>
    <w:rPr>
      <w:b/>
      <w:bCs/>
      <w:sz w:val="28"/>
      <w:lang w:eastAsia="zh-CN"/>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sid w:val="00931B00"/>
    <w:rPr>
      <w:rFonts w:ascii="Arial" w:hAnsi="Arial"/>
      <w:b/>
      <w:bCs/>
      <w:sz w:val="28"/>
      <w:lang w:val="en-GB"/>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391AC4"/>
    <w:rPr>
      <w:lang w:val="en-GB" w:eastAsia="en-US"/>
    </w:rPr>
  </w:style>
  <w:style w:type="paragraph" w:customStyle="1" w:styleId="ListParagraph3">
    <w:name w:val="List Paragraph3"/>
    <w:basedOn w:val="a"/>
    <w:rsid w:val="008C2F93"/>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09260">
      <w:bodyDiv w:val="1"/>
      <w:marLeft w:val="0"/>
      <w:marRight w:val="0"/>
      <w:marTop w:val="0"/>
      <w:marBottom w:val="0"/>
      <w:divBdr>
        <w:top w:val="none" w:sz="0" w:space="0" w:color="auto"/>
        <w:left w:val="none" w:sz="0" w:space="0" w:color="auto"/>
        <w:bottom w:val="none" w:sz="0" w:space="0" w:color="auto"/>
        <w:right w:val="none" w:sz="0" w:space="0" w:color="auto"/>
      </w:divBdr>
    </w:div>
    <w:div w:id="533813875">
      <w:bodyDiv w:val="1"/>
      <w:marLeft w:val="0"/>
      <w:marRight w:val="0"/>
      <w:marTop w:val="0"/>
      <w:marBottom w:val="0"/>
      <w:divBdr>
        <w:top w:val="none" w:sz="0" w:space="0" w:color="auto"/>
        <w:left w:val="none" w:sz="0" w:space="0" w:color="auto"/>
        <w:bottom w:val="none" w:sz="0" w:space="0" w:color="auto"/>
        <w:right w:val="none" w:sz="0" w:space="0" w:color="auto"/>
      </w:divBdr>
    </w:div>
    <w:div w:id="727727740">
      <w:bodyDiv w:val="1"/>
      <w:marLeft w:val="0"/>
      <w:marRight w:val="0"/>
      <w:marTop w:val="0"/>
      <w:marBottom w:val="0"/>
      <w:divBdr>
        <w:top w:val="none" w:sz="0" w:space="0" w:color="auto"/>
        <w:left w:val="none" w:sz="0" w:space="0" w:color="auto"/>
        <w:bottom w:val="none" w:sz="0" w:space="0" w:color="auto"/>
        <w:right w:val="none" w:sz="0" w:space="0" w:color="auto"/>
      </w:divBdr>
    </w:div>
    <w:div w:id="796483731">
      <w:bodyDiv w:val="1"/>
      <w:marLeft w:val="0"/>
      <w:marRight w:val="0"/>
      <w:marTop w:val="0"/>
      <w:marBottom w:val="0"/>
      <w:divBdr>
        <w:top w:val="none" w:sz="0" w:space="0" w:color="auto"/>
        <w:left w:val="none" w:sz="0" w:space="0" w:color="auto"/>
        <w:bottom w:val="none" w:sz="0" w:space="0" w:color="auto"/>
        <w:right w:val="none" w:sz="0" w:space="0" w:color="auto"/>
      </w:divBdr>
    </w:div>
    <w:div w:id="849176371">
      <w:bodyDiv w:val="1"/>
      <w:marLeft w:val="0"/>
      <w:marRight w:val="0"/>
      <w:marTop w:val="0"/>
      <w:marBottom w:val="0"/>
      <w:divBdr>
        <w:top w:val="none" w:sz="0" w:space="0" w:color="auto"/>
        <w:left w:val="none" w:sz="0" w:space="0" w:color="auto"/>
        <w:bottom w:val="none" w:sz="0" w:space="0" w:color="auto"/>
        <w:right w:val="none" w:sz="0" w:space="0" w:color="auto"/>
      </w:divBdr>
    </w:div>
    <w:div w:id="1109162765">
      <w:bodyDiv w:val="1"/>
      <w:marLeft w:val="0"/>
      <w:marRight w:val="0"/>
      <w:marTop w:val="0"/>
      <w:marBottom w:val="0"/>
      <w:divBdr>
        <w:top w:val="none" w:sz="0" w:space="0" w:color="auto"/>
        <w:left w:val="none" w:sz="0" w:space="0" w:color="auto"/>
        <w:bottom w:val="none" w:sz="0" w:space="0" w:color="auto"/>
        <w:right w:val="none" w:sz="0" w:space="0" w:color="auto"/>
      </w:divBdr>
    </w:div>
    <w:div w:id="1120614262">
      <w:bodyDiv w:val="1"/>
      <w:marLeft w:val="0"/>
      <w:marRight w:val="0"/>
      <w:marTop w:val="0"/>
      <w:marBottom w:val="0"/>
      <w:divBdr>
        <w:top w:val="none" w:sz="0" w:space="0" w:color="auto"/>
        <w:left w:val="none" w:sz="0" w:space="0" w:color="auto"/>
        <w:bottom w:val="none" w:sz="0" w:space="0" w:color="auto"/>
        <w:right w:val="none" w:sz="0" w:space="0" w:color="auto"/>
      </w:divBdr>
    </w:div>
    <w:div w:id="1211723342">
      <w:bodyDiv w:val="1"/>
      <w:marLeft w:val="0"/>
      <w:marRight w:val="0"/>
      <w:marTop w:val="0"/>
      <w:marBottom w:val="0"/>
      <w:divBdr>
        <w:top w:val="none" w:sz="0" w:space="0" w:color="auto"/>
        <w:left w:val="none" w:sz="0" w:space="0" w:color="auto"/>
        <w:bottom w:val="none" w:sz="0" w:space="0" w:color="auto"/>
        <w:right w:val="none" w:sz="0" w:space="0" w:color="auto"/>
      </w:divBdr>
    </w:div>
    <w:div w:id="1230119959">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825272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1100</Words>
  <Characters>5733</Characters>
  <Application>Microsoft Office Word</Application>
  <DocSecurity>0</DocSecurity>
  <Lines>102</Lines>
  <Paragraphs>58</Paragraphs>
  <ScaleCrop>false</ScaleCrop>
  <Company>ETSI Sophia Antipolis</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84</cp:revision>
  <cp:lastPrinted>2019-03-27T02:48:00Z</cp:lastPrinted>
  <dcterms:created xsi:type="dcterms:W3CDTF">2024-11-08T00:30:00Z</dcterms:created>
  <dcterms:modified xsi:type="dcterms:W3CDTF">2025-05-08T12:01:00Z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